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A9E29" w14:textId="77777777" w:rsidR="009F5392" w:rsidRDefault="009F5392" w:rsidP="00C60BB7">
      <w:pPr>
        <w:rPr>
          <w:rFonts w:asciiTheme="majorHAnsi" w:hAnsiTheme="majorHAnsi" w:cstheme="majorHAnsi"/>
          <w:b/>
        </w:rPr>
      </w:pPr>
    </w:p>
    <w:p w14:paraId="4EB3B67B" w14:textId="46095D3C" w:rsidR="00F141DA" w:rsidRPr="006D47E7" w:rsidRDefault="002F7A2C" w:rsidP="00C60BB7">
      <w:pPr>
        <w:rPr>
          <w:rFonts w:asciiTheme="majorHAnsi" w:hAnsiTheme="majorHAnsi" w:cstheme="majorHAnsi"/>
          <w:b/>
        </w:rPr>
      </w:pPr>
      <w:r>
        <w:rPr>
          <w:rFonts w:asciiTheme="majorHAnsi" w:hAnsiTheme="majorHAnsi" w:cstheme="majorHAnsi"/>
          <w:b/>
        </w:rPr>
        <w:t>Vedlegg 1</w:t>
      </w:r>
    </w:p>
    <w:p w14:paraId="5F6C7EF3" w14:textId="77777777" w:rsidR="00194F1E" w:rsidRPr="00194F1E" w:rsidRDefault="003B0D58" w:rsidP="00194F1E">
      <w:pPr>
        <w:rPr>
          <w:rFonts w:asciiTheme="majorHAnsi" w:hAnsiTheme="majorHAnsi" w:cstheme="majorHAnsi"/>
          <w:b/>
        </w:rPr>
      </w:pPr>
      <w:r>
        <w:rPr>
          <w:rFonts w:asciiTheme="majorHAnsi" w:hAnsiTheme="majorHAnsi" w:cstheme="majorHAnsi"/>
          <w:b/>
        </w:rPr>
        <w:t xml:space="preserve">Endringer til </w:t>
      </w:r>
      <w:r w:rsidR="00194F1E" w:rsidRPr="00194F1E">
        <w:rPr>
          <w:rFonts w:asciiTheme="majorHAnsi" w:hAnsiTheme="majorHAnsi" w:cstheme="majorHAnsi"/>
          <w:b/>
        </w:rPr>
        <w:t>Forsvarsbyggs generelle kontraktsvilkår for rammeavtaler</w:t>
      </w:r>
    </w:p>
    <w:p w14:paraId="604F0A31" w14:textId="77777777" w:rsidR="006D47E7" w:rsidRPr="00CD2126" w:rsidRDefault="006D47E7" w:rsidP="00C60BB7">
      <w:pPr>
        <w:rPr>
          <w:rFonts w:asciiTheme="majorHAnsi" w:hAnsiTheme="majorHAnsi" w:cstheme="majorHAnsi"/>
          <w:sz w:val="20"/>
          <w:szCs w:val="20"/>
        </w:rPr>
      </w:pPr>
    </w:p>
    <w:p w14:paraId="5346D271" w14:textId="77777777" w:rsidR="00194F1E" w:rsidRPr="00CD2126" w:rsidRDefault="006D47E7" w:rsidP="00194F1E">
      <w:pPr>
        <w:rPr>
          <w:rFonts w:asciiTheme="majorHAnsi" w:hAnsiTheme="majorHAnsi" w:cstheme="majorHAnsi"/>
          <w:sz w:val="20"/>
          <w:szCs w:val="20"/>
        </w:rPr>
      </w:pPr>
      <w:r w:rsidRPr="00CD2126">
        <w:rPr>
          <w:rFonts w:asciiTheme="majorHAnsi" w:hAnsiTheme="majorHAnsi" w:cstheme="majorHAnsi"/>
          <w:sz w:val="20"/>
          <w:szCs w:val="20"/>
        </w:rPr>
        <w:t xml:space="preserve">I tabellen under </w:t>
      </w:r>
      <w:proofErr w:type="gramStart"/>
      <w:r w:rsidRPr="00CD2126">
        <w:rPr>
          <w:rFonts w:asciiTheme="majorHAnsi" w:hAnsiTheme="majorHAnsi" w:cstheme="majorHAnsi"/>
          <w:sz w:val="20"/>
          <w:szCs w:val="20"/>
        </w:rPr>
        <w:t>fremgår</w:t>
      </w:r>
      <w:proofErr w:type="gramEnd"/>
      <w:r w:rsidRPr="00CD2126">
        <w:rPr>
          <w:rFonts w:asciiTheme="majorHAnsi" w:hAnsiTheme="majorHAnsi" w:cstheme="majorHAnsi"/>
          <w:sz w:val="20"/>
          <w:szCs w:val="20"/>
        </w:rPr>
        <w:t xml:space="preserve"> det endringer og eventuelle tillegg til </w:t>
      </w:r>
      <w:r w:rsidR="00194F1E" w:rsidRPr="00CD2126">
        <w:rPr>
          <w:rFonts w:asciiTheme="majorHAnsi" w:hAnsiTheme="majorHAnsi" w:cstheme="majorHAnsi"/>
          <w:sz w:val="20"/>
          <w:szCs w:val="20"/>
        </w:rPr>
        <w:t>Forsvarsbyggs generelle kontraktsvilkår for rammeavtaler:</w:t>
      </w:r>
    </w:p>
    <w:p w14:paraId="5F040E51" w14:textId="77777777" w:rsidR="00194F1E" w:rsidRPr="00CD2126" w:rsidRDefault="00194F1E" w:rsidP="006D47E7">
      <w:pPr>
        <w:rPr>
          <w:rFonts w:asciiTheme="majorHAnsi" w:hAnsiTheme="majorHAnsi" w:cstheme="majorHAnsi"/>
          <w:sz w:val="20"/>
          <w:szCs w:val="20"/>
        </w:rPr>
      </w:pPr>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413"/>
        <w:gridCol w:w="7647"/>
      </w:tblGrid>
      <w:tr w:rsidR="006D47E7" w:rsidRPr="00D44F06" w14:paraId="58C09DAF" w14:textId="77777777" w:rsidTr="4D03FD4B">
        <w:trPr>
          <w:trHeight w:val="340"/>
        </w:trPr>
        <w:tc>
          <w:tcPr>
            <w:tcW w:w="1413" w:type="dxa"/>
            <w:shd w:val="clear" w:color="auto" w:fill="D9D9D9" w:themeFill="background1" w:themeFillShade="D9"/>
            <w:vAlign w:val="center"/>
          </w:tcPr>
          <w:p w14:paraId="39A62E64" w14:textId="77777777" w:rsidR="006D47E7" w:rsidRPr="00CD2126" w:rsidRDefault="006D47E7" w:rsidP="00D44F06">
            <w:pPr>
              <w:rPr>
                <w:rFonts w:asciiTheme="majorHAnsi" w:hAnsiTheme="majorHAnsi" w:cstheme="majorHAnsi"/>
                <w:b/>
                <w:sz w:val="20"/>
                <w:szCs w:val="20"/>
              </w:rPr>
            </w:pPr>
            <w:r w:rsidRPr="00CD2126">
              <w:rPr>
                <w:rFonts w:asciiTheme="majorHAnsi" w:hAnsiTheme="majorHAnsi" w:cstheme="majorHAnsi"/>
                <w:b/>
                <w:sz w:val="20"/>
                <w:szCs w:val="20"/>
              </w:rPr>
              <w:t>Punkt</w:t>
            </w:r>
          </w:p>
        </w:tc>
        <w:tc>
          <w:tcPr>
            <w:tcW w:w="7647" w:type="dxa"/>
            <w:shd w:val="clear" w:color="auto" w:fill="D9D9D9" w:themeFill="background1" w:themeFillShade="D9"/>
            <w:vAlign w:val="center"/>
          </w:tcPr>
          <w:p w14:paraId="374E7A8F" w14:textId="77777777" w:rsidR="006D47E7" w:rsidRPr="00CD2126" w:rsidRDefault="003B0D58" w:rsidP="00D44F06">
            <w:pPr>
              <w:rPr>
                <w:rFonts w:asciiTheme="majorHAnsi" w:hAnsiTheme="majorHAnsi" w:cstheme="majorHAnsi"/>
                <w:b/>
                <w:sz w:val="20"/>
                <w:szCs w:val="20"/>
              </w:rPr>
            </w:pPr>
            <w:r w:rsidRPr="00CD2126">
              <w:rPr>
                <w:rFonts w:asciiTheme="majorHAnsi" w:hAnsiTheme="majorHAnsi" w:cstheme="majorHAnsi"/>
                <w:b/>
                <w:sz w:val="20"/>
                <w:szCs w:val="20"/>
              </w:rPr>
              <w:t>Erstattes med eller utgår, eventuelt nytt punkt</w:t>
            </w:r>
          </w:p>
        </w:tc>
      </w:tr>
      <w:tr w:rsidR="006D47E7" w:rsidRPr="00D44F06" w14:paraId="6F145729" w14:textId="77777777" w:rsidTr="4D03FD4B">
        <w:trPr>
          <w:trHeight w:val="340"/>
        </w:trPr>
        <w:tc>
          <w:tcPr>
            <w:tcW w:w="1413" w:type="dxa"/>
            <w:vAlign w:val="center"/>
          </w:tcPr>
          <w:p w14:paraId="6C0E0CC0" w14:textId="73B2922F" w:rsidR="00CC42DF" w:rsidRDefault="00CC42DF" w:rsidP="4D03FD4B">
            <w:pPr>
              <w:jc w:val="center"/>
              <w:rPr>
                <w:rFonts w:asciiTheme="majorHAnsi" w:hAnsiTheme="majorHAnsi" w:cstheme="majorBidi"/>
                <w:kern w:val="0"/>
                <w:sz w:val="20"/>
                <w:szCs w:val="20"/>
                <w:lang w:eastAsia="nb-NO"/>
                <w14:ligatures w14:val="none"/>
              </w:rPr>
            </w:pPr>
          </w:p>
          <w:p w14:paraId="706E2554" w14:textId="5B46C73A" w:rsidR="006D47E7" w:rsidRPr="00D44F06" w:rsidRDefault="00B02672" w:rsidP="00D44F06">
            <w:pPr>
              <w:rPr>
                <w:rFonts w:asciiTheme="majorHAnsi" w:hAnsiTheme="majorHAnsi" w:cstheme="majorHAnsi"/>
              </w:rPr>
            </w:pPr>
            <w:r>
              <w:rPr>
                <w:rFonts w:asciiTheme="majorHAnsi" w:hAnsiTheme="majorHAnsi" w:cstheme="majorHAnsi"/>
              </w:rPr>
              <w:t>7.4</w:t>
            </w:r>
          </w:p>
        </w:tc>
        <w:tc>
          <w:tcPr>
            <w:tcW w:w="7647" w:type="dxa"/>
            <w:vAlign w:val="center"/>
          </w:tcPr>
          <w:p w14:paraId="4C9AF0CA" w14:textId="0568A88C" w:rsidR="006D47E7" w:rsidRPr="00D44F06" w:rsidRDefault="0059179C" w:rsidP="4D03FD4B">
            <w:pPr>
              <w:rPr>
                <w:rFonts w:asciiTheme="majorHAnsi" w:hAnsiTheme="majorHAnsi"/>
                <w:sz w:val="20"/>
                <w:szCs w:val="20"/>
              </w:rPr>
            </w:pPr>
            <w:bookmarkStart w:id="0" w:name="_Ref119671183"/>
            <w:bookmarkEnd w:id="0"/>
            <w:r>
              <w:rPr>
                <w:rFonts w:asciiTheme="majorHAnsi" w:hAnsiTheme="majorHAnsi"/>
                <w:sz w:val="20"/>
                <w:szCs w:val="20"/>
              </w:rPr>
              <w:t>Kommer ikke til anvendelse</w:t>
            </w:r>
          </w:p>
        </w:tc>
      </w:tr>
      <w:tr w:rsidR="00D44F06" w:rsidRPr="00D44F06" w14:paraId="350B8548" w14:textId="77777777" w:rsidTr="0044683D">
        <w:trPr>
          <w:trHeight w:val="340"/>
        </w:trPr>
        <w:tc>
          <w:tcPr>
            <w:tcW w:w="1413" w:type="dxa"/>
            <w:vAlign w:val="center"/>
          </w:tcPr>
          <w:p w14:paraId="7A60C1AB" w14:textId="4516FD48" w:rsidR="00D44F06" w:rsidRPr="00D44F06" w:rsidRDefault="0059179C" w:rsidP="00D44F06">
            <w:pPr>
              <w:rPr>
                <w:rFonts w:asciiTheme="majorHAnsi" w:hAnsiTheme="majorHAnsi" w:cstheme="majorHAnsi"/>
              </w:rPr>
            </w:pPr>
            <w:r>
              <w:rPr>
                <w:rFonts w:asciiTheme="majorHAnsi" w:hAnsiTheme="majorHAnsi" w:cstheme="majorHAnsi"/>
              </w:rPr>
              <w:t>7.5</w:t>
            </w:r>
          </w:p>
        </w:tc>
        <w:tc>
          <w:tcPr>
            <w:tcW w:w="7647" w:type="dxa"/>
          </w:tcPr>
          <w:p w14:paraId="6CF2AE09" w14:textId="40F92FB2" w:rsidR="00D44F06" w:rsidRPr="00D44F06" w:rsidRDefault="0059179C" w:rsidP="00D44F06">
            <w:pPr>
              <w:rPr>
                <w:rFonts w:asciiTheme="majorHAnsi" w:hAnsiTheme="majorHAnsi" w:cstheme="majorHAnsi"/>
              </w:rPr>
            </w:pPr>
            <w:r w:rsidRPr="00747EED">
              <w:rPr>
                <w:rFonts w:asciiTheme="majorHAnsi" w:hAnsiTheme="majorHAnsi"/>
                <w:sz w:val="20"/>
                <w:szCs w:val="20"/>
              </w:rPr>
              <w:t>Kommer ikke til anvendelse</w:t>
            </w:r>
          </w:p>
        </w:tc>
      </w:tr>
      <w:tr w:rsidR="00194F1E" w:rsidRPr="00D44F06" w14:paraId="01F45F48" w14:textId="77777777" w:rsidTr="0044683D">
        <w:trPr>
          <w:trHeight w:val="340"/>
        </w:trPr>
        <w:tc>
          <w:tcPr>
            <w:tcW w:w="1413" w:type="dxa"/>
            <w:vAlign w:val="center"/>
          </w:tcPr>
          <w:p w14:paraId="1604F84C" w14:textId="7CA7D903" w:rsidR="00194F1E" w:rsidRPr="00D44F06" w:rsidRDefault="0059179C" w:rsidP="00D44F06">
            <w:pPr>
              <w:rPr>
                <w:rFonts w:asciiTheme="majorHAnsi" w:hAnsiTheme="majorHAnsi" w:cstheme="majorHAnsi"/>
              </w:rPr>
            </w:pPr>
            <w:r>
              <w:rPr>
                <w:rFonts w:asciiTheme="majorHAnsi" w:hAnsiTheme="majorHAnsi" w:cstheme="majorHAnsi"/>
              </w:rPr>
              <w:t>7.6</w:t>
            </w:r>
          </w:p>
        </w:tc>
        <w:tc>
          <w:tcPr>
            <w:tcW w:w="7647" w:type="dxa"/>
          </w:tcPr>
          <w:p w14:paraId="57B6269E" w14:textId="62907D58" w:rsidR="00194F1E" w:rsidRPr="00D44F06" w:rsidRDefault="0059179C" w:rsidP="00D44F06">
            <w:pPr>
              <w:rPr>
                <w:rFonts w:asciiTheme="majorHAnsi" w:hAnsiTheme="majorHAnsi" w:cstheme="majorHAnsi"/>
              </w:rPr>
            </w:pPr>
            <w:r w:rsidRPr="00747EED">
              <w:rPr>
                <w:rFonts w:asciiTheme="majorHAnsi" w:hAnsiTheme="majorHAnsi"/>
                <w:sz w:val="20"/>
                <w:szCs w:val="20"/>
              </w:rPr>
              <w:t>Kommer ikke til anvendelse</w:t>
            </w:r>
          </w:p>
        </w:tc>
      </w:tr>
      <w:tr w:rsidR="000027D0" w:rsidRPr="00D44F06" w14:paraId="7D726185" w14:textId="77777777" w:rsidTr="0044683D">
        <w:trPr>
          <w:trHeight w:val="340"/>
        </w:trPr>
        <w:tc>
          <w:tcPr>
            <w:tcW w:w="1413" w:type="dxa"/>
          </w:tcPr>
          <w:p w14:paraId="26FE0871" w14:textId="40E10992" w:rsidR="000027D0" w:rsidRDefault="000027D0" w:rsidP="000027D0">
            <w:pPr>
              <w:rPr>
                <w:rFonts w:asciiTheme="majorHAnsi" w:hAnsiTheme="majorHAnsi" w:cstheme="majorHAnsi"/>
              </w:rPr>
            </w:pPr>
            <w:r>
              <w:t>Nytt pkt.</w:t>
            </w:r>
          </w:p>
        </w:tc>
        <w:tc>
          <w:tcPr>
            <w:tcW w:w="7647" w:type="dxa"/>
          </w:tcPr>
          <w:p w14:paraId="684A5D17" w14:textId="77777777" w:rsidR="000027D0" w:rsidRPr="007A32C1" w:rsidRDefault="000027D0" w:rsidP="000027D0">
            <w:pPr>
              <w:rPr>
                <w:rFonts w:asciiTheme="majorHAnsi" w:hAnsiTheme="majorHAnsi" w:cstheme="majorHAnsi"/>
                <w:b/>
                <w:sz w:val="20"/>
                <w:szCs w:val="20"/>
              </w:rPr>
            </w:pPr>
            <w:r w:rsidRPr="007A32C1">
              <w:rPr>
                <w:rFonts w:asciiTheme="majorHAnsi" w:hAnsiTheme="majorHAnsi" w:cstheme="majorHAnsi"/>
                <w:b/>
                <w:sz w:val="20"/>
                <w:szCs w:val="20"/>
              </w:rPr>
              <w:t>11.5 Etisk handel</w:t>
            </w:r>
          </w:p>
          <w:p w14:paraId="07E235A4" w14:textId="77777777" w:rsidR="000027D0" w:rsidRDefault="000027D0" w:rsidP="000027D0">
            <w:pPr>
              <w:rPr>
                <w:rFonts w:asciiTheme="majorHAnsi" w:hAnsiTheme="majorHAnsi"/>
                <w:sz w:val="20"/>
                <w:szCs w:val="20"/>
              </w:rPr>
            </w:pPr>
            <w:r>
              <w:rPr>
                <w:rFonts w:asciiTheme="majorHAnsi" w:hAnsiTheme="majorHAnsi"/>
                <w:sz w:val="20"/>
                <w:szCs w:val="20"/>
              </w:rPr>
              <w:t xml:space="preserve">11.5.1 </w:t>
            </w:r>
            <w:r>
              <w:rPr>
                <w:rFonts w:asciiTheme="majorHAnsi" w:hAnsiTheme="majorHAnsi"/>
                <w:sz w:val="20"/>
                <w:szCs w:val="20"/>
                <w:u w:val="single"/>
              </w:rPr>
              <w:t>Ivaretakelse av grunnleggende menneskerettigheter i leverandørkjeden</w:t>
            </w:r>
          </w:p>
          <w:p w14:paraId="0C3098D7" w14:textId="77777777" w:rsidR="000027D0" w:rsidRDefault="000027D0" w:rsidP="000027D0">
            <w:pPr>
              <w:rPr>
                <w:rFonts w:asciiTheme="majorHAnsi" w:hAnsiTheme="majorHAnsi"/>
                <w:sz w:val="20"/>
                <w:szCs w:val="20"/>
              </w:rPr>
            </w:pPr>
            <w:r>
              <w:rPr>
                <w:rFonts w:asciiTheme="majorHAnsi" w:hAnsiTheme="majorHAnsi"/>
                <w:sz w:val="20"/>
                <w:szCs w:val="20"/>
              </w:rPr>
              <w:t xml:space="preserve">Leverandøren skal under hele perioden overholde punktene i dette kontraktsvilkåret for å ivareta åpenhetslovens krav til dokumentasjon, og gjennomføring og oppfølging av aktsomhetsvurderinger. Kontraktsvilkårene bygger på FNs veiledende prinsipper for næringsliv og menneskerettigheter og OECDs retningslinjer for ansvarlig næringsliv med aktsomhetsvurderinger som metode. </w:t>
            </w:r>
          </w:p>
          <w:p w14:paraId="3F6435CA" w14:textId="77777777" w:rsidR="000027D0" w:rsidRDefault="000027D0" w:rsidP="000027D0">
            <w:pPr>
              <w:rPr>
                <w:rFonts w:asciiTheme="majorHAnsi" w:hAnsiTheme="majorHAnsi"/>
                <w:sz w:val="20"/>
                <w:szCs w:val="20"/>
              </w:rPr>
            </w:pPr>
          </w:p>
          <w:p w14:paraId="02705D61" w14:textId="77777777" w:rsidR="000027D0" w:rsidRDefault="000027D0" w:rsidP="000027D0">
            <w:pPr>
              <w:rPr>
                <w:rFonts w:asciiTheme="majorHAnsi" w:hAnsiTheme="majorHAnsi"/>
                <w:sz w:val="20"/>
                <w:szCs w:val="20"/>
              </w:rPr>
            </w:pPr>
            <w:r>
              <w:rPr>
                <w:rFonts w:asciiTheme="majorHAnsi" w:hAnsiTheme="majorHAnsi"/>
                <w:sz w:val="20"/>
                <w:szCs w:val="20"/>
              </w:rPr>
              <w:t>Dersom leverandøren bruker underleverandør for å oppfylle denne rammeavtalen, er leverandøren forpliktet til å videreføre og bidra til etterlevelse av kravene i leverandørkjeden.</w:t>
            </w:r>
          </w:p>
          <w:p w14:paraId="7A96922A" w14:textId="1438F637" w:rsidR="000027D0" w:rsidRPr="00747EED" w:rsidRDefault="000027D0" w:rsidP="000027D0">
            <w:pPr>
              <w:tabs>
                <w:tab w:val="left" w:pos="2428"/>
              </w:tabs>
              <w:rPr>
                <w:rFonts w:asciiTheme="majorHAnsi" w:hAnsiTheme="majorHAnsi"/>
                <w:sz w:val="20"/>
                <w:szCs w:val="20"/>
              </w:rPr>
            </w:pPr>
          </w:p>
        </w:tc>
      </w:tr>
      <w:tr w:rsidR="000027D0" w:rsidRPr="00D44F06" w14:paraId="418EFCFD" w14:textId="77777777" w:rsidTr="0044683D">
        <w:trPr>
          <w:trHeight w:val="340"/>
        </w:trPr>
        <w:tc>
          <w:tcPr>
            <w:tcW w:w="1413" w:type="dxa"/>
          </w:tcPr>
          <w:p w14:paraId="6BB3256E" w14:textId="656AFC1E" w:rsidR="000027D0" w:rsidRDefault="000027D0" w:rsidP="000027D0">
            <w:pPr>
              <w:rPr>
                <w:rFonts w:asciiTheme="majorHAnsi" w:hAnsiTheme="majorHAnsi" w:cstheme="majorHAnsi"/>
              </w:rPr>
            </w:pPr>
            <w:r>
              <w:t>Nytt pkt</w:t>
            </w:r>
            <w:r w:rsidR="00A50216">
              <w:t>.</w:t>
            </w:r>
          </w:p>
        </w:tc>
        <w:tc>
          <w:tcPr>
            <w:tcW w:w="7647" w:type="dxa"/>
          </w:tcPr>
          <w:p w14:paraId="402D76C9" w14:textId="77777777" w:rsidR="000027D0" w:rsidRDefault="000027D0" w:rsidP="00B07D8E">
            <w:pPr>
              <w:pStyle w:val="Heading4"/>
              <w:numPr>
                <w:ilvl w:val="0"/>
                <w:numId w:val="0"/>
              </w:numPr>
              <w:ind w:left="864" w:hanging="864"/>
              <w:rPr>
                <w:i w:val="0"/>
                <w:iCs w:val="0"/>
                <w:color w:val="auto"/>
                <w:sz w:val="20"/>
                <w:szCs w:val="20"/>
              </w:rPr>
            </w:pPr>
            <w:r>
              <w:rPr>
                <w:i w:val="0"/>
                <w:iCs w:val="0"/>
                <w:color w:val="auto"/>
                <w:sz w:val="20"/>
                <w:szCs w:val="20"/>
              </w:rPr>
              <w:t xml:space="preserve">11.5.2 </w:t>
            </w:r>
            <w:r>
              <w:rPr>
                <w:i w:val="0"/>
                <w:iCs w:val="0"/>
                <w:color w:val="auto"/>
                <w:sz w:val="20"/>
                <w:szCs w:val="20"/>
                <w:u w:val="single"/>
              </w:rPr>
              <w:t>ILOs kjernekonvensjoner</w:t>
            </w:r>
          </w:p>
          <w:p w14:paraId="2B32D403" w14:textId="77777777" w:rsidR="000027D0" w:rsidRDefault="000027D0" w:rsidP="000027D0">
            <w:pPr>
              <w:rPr>
                <w:rFonts w:asciiTheme="majorHAnsi" w:hAnsiTheme="majorHAnsi"/>
                <w:sz w:val="20"/>
                <w:szCs w:val="20"/>
              </w:rPr>
            </w:pPr>
            <w:r>
              <w:rPr>
                <w:rFonts w:asciiTheme="majorHAnsi" w:hAnsiTheme="majorHAnsi"/>
                <w:sz w:val="20"/>
                <w:szCs w:val="20"/>
              </w:rPr>
              <w:t>Leverandør skal etterleve følgende grunnleggende krav:</w:t>
            </w:r>
          </w:p>
          <w:p w14:paraId="57FC4C82" w14:textId="77777777" w:rsidR="000027D0" w:rsidRDefault="000027D0" w:rsidP="000027D0">
            <w:pPr>
              <w:ind w:left="709" w:hanging="425"/>
              <w:rPr>
                <w:rFonts w:asciiTheme="majorHAnsi" w:hAnsiTheme="majorHAnsi"/>
                <w:sz w:val="20"/>
                <w:szCs w:val="20"/>
              </w:rPr>
            </w:pPr>
            <w:r>
              <w:rPr>
                <w:rFonts w:asciiTheme="majorHAnsi" w:hAnsiTheme="majorHAnsi"/>
                <w:sz w:val="20"/>
                <w:szCs w:val="20"/>
              </w:rPr>
              <w:t>a)</w:t>
            </w:r>
            <w:r>
              <w:rPr>
                <w:rFonts w:asciiTheme="majorHAnsi" w:hAnsiTheme="majorHAnsi"/>
                <w:sz w:val="20"/>
                <w:szCs w:val="20"/>
              </w:rPr>
              <w:tab/>
              <w:t>Forbud mot barnearbeid (FNs barnekonvensjon artikkel 32, ILO-konvensjoner nr. 138 og 182)</w:t>
            </w:r>
          </w:p>
          <w:p w14:paraId="050FF3C4" w14:textId="77777777" w:rsidR="000027D0" w:rsidRDefault="000027D0" w:rsidP="000027D0">
            <w:pPr>
              <w:ind w:left="709" w:hanging="425"/>
              <w:rPr>
                <w:rFonts w:asciiTheme="majorHAnsi" w:hAnsiTheme="majorHAnsi"/>
                <w:sz w:val="20"/>
                <w:szCs w:val="20"/>
              </w:rPr>
            </w:pPr>
            <w:r>
              <w:rPr>
                <w:rFonts w:asciiTheme="majorHAnsi" w:hAnsiTheme="majorHAnsi"/>
                <w:sz w:val="20"/>
                <w:szCs w:val="20"/>
              </w:rPr>
              <w:t>b)</w:t>
            </w:r>
            <w:r>
              <w:rPr>
                <w:rFonts w:asciiTheme="majorHAnsi" w:hAnsiTheme="majorHAnsi"/>
                <w:sz w:val="20"/>
                <w:szCs w:val="20"/>
              </w:rPr>
              <w:tab/>
              <w:t>Forbud mot tvangsarbeid/slavearbeid (ILO-konvensjoner nr. 29 og 105)</w:t>
            </w:r>
          </w:p>
          <w:p w14:paraId="50076631" w14:textId="77777777" w:rsidR="000027D0" w:rsidRDefault="000027D0" w:rsidP="000027D0">
            <w:pPr>
              <w:ind w:left="709" w:hanging="425"/>
              <w:rPr>
                <w:rFonts w:asciiTheme="majorHAnsi" w:hAnsiTheme="majorHAnsi"/>
                <w:sz w:val="20"/>
                <w:szCs w:val="20"/>
              </w:rPr>
            </w:pPr>
            <w:r>
              <w:rPr>
                <w:rFonts w:asciiTheme="majorHAnsi" w:hAnsiTheme="majorHAnsi"/>
                <w:sz w:val="20"/>
                <w:szCs w:val="20"/>
              </w:rPr>
              <w:t>c)</w:t>
            </w:r>
            <w:r>
              <w:rPr>
                <w:rFonts w:asciiTheme="majorHAnsi" w:hAnsiTheme="majorHAnsi"/>
                <w:sz w:val="20"/>
                <w:szCs w:val="20"/>
              </w:rPr>
              <w:tab/>
              <w:t>Forbud mot diskriminering (ILO-konvensjoner nr. 100 og 111)</w:t>
            </w:r>
          </w:p>
          <w:p w14:paraId="46E84449" w14:textId="77777777" w:rsidR="000027D0" w:rsidRDefault="000027D0" w:rsidP="000027D0">
            <w:pPr>
              <w:ind w:left="709" w:hanging="425"/>
              <w:rPr>
                <w:rFonts w:asciiTheme="majorHAnsi" w:hAnsiTheme="majorHAnsi"/>
                <w:sz w:val="20"/>
                <w:szCs w:val="20"/>
              </w:rPr>
            </w:pPr>
            <w:r>
              <w:rPr>
                <w:rFonts w:asciiTheme="majorHAnsi" w:hAnsiTheme="majorHAnsi"/>
                <w:sz w:val="20"/>
                <w:szCs w:val="20"/>
              </w:rPr>
              <w:t>d)</w:t>
            </w:r>
            <w:r>
              <w:rPr>
                <w:rFonts w:asciiTheme="majorHAnsi" w:hAnsiTheme="majorHAnsi"/>
                <w:sz w:val="20"/>
                <w:szCs w:val="20"/>
              </w:rPr>
              <w:tab/>
              <w:t>Organisasjonsfrihet og retten til kollektive forhandlinger (ILO-konvensjoner nr. 87 og 98)</w:t>
            </w:r>
          </w:p>
          <w:p w14:paraId="52AFE91E" w14:textId="77777777" w:rsidR="000027D0" w:rsidRDefault="000027D0" w:rsidP="000027D0">
            <w:pPr>
              <w:tabs>
                <w:tab w:val="left" w:pos="2428"/>
              </w:tabs>
              <w:rPr>
                <w:rFonts w:asciiTheme="majorHAnsi" w:hAnsiTheme="majorHAnsi"/>
                <w:sz w:val="20"/>
                <w:szCs w:val="20"/>
              </w:rPr>
            </w:pPr>
          </w:p>
        </w:tc>
      </w:tr>
      <w:tr w:rsidR="000027D0" w:rsidRPr="00D44F06" w14:paraId="761902FB" w14:textId="77777777" w:rsidTr="0044683D">
        <w:trPr>
          <w:trHeight w:val="340"/>
        </w:trPr>
        <w:tc>
          <w:tcPr>
            <w:tcW w:w="1413" w:type="dxa"/>
          </w:tcPr>
          <w:p w14:paraId="46BF852A" w14:textId="5F1C8D70" w:rsidR="000027D0" w:rsidRDefault="004E227A" w:rsidP="000027D0">
            <w:r>
              <w:lastRenderedPageBreak/>
              <w:t>Nytt pkt</w:t>
            </w:r>
            <w:r w:rsidR="00A50216">
              <w:t>.</w:t>
            </w:r>
          </w:p>
        </w:tc>
        <w:tc>
          <w:tcPr>
            <w:tcW w:w="7647" w:type="dxa"/>
          </w:tcPr>
          <w:p w14:paraId="62E1C26B" w14:textId="370E3A8C" w:rsidR="00B07D8E" w:rsidRDefault="00B07D8E" w:rsidP="009F2A02">
            <w:pPr>
              <w:pStyle w:val="Heading3"/>
              <w:numPr>
                <w:ilvl w:val="3"/>
                <w:numId w:val="1"/>
              </w:numPr>
            </w:pPr>
            <w:bookmarkStart w:id="1" w:name="_Ref400436403"/>
            <w:r>
              <w:t>Oppfølging</w:t>
            </w:r>
            <w:bookmarkEnd w:id="1"/>
          </w:p>
          <w:p w14:paraId="09EC76DD" w14:textId="77777777" w:rsidR="00B07D8E" w:rsidRPr="007B36D9" w:rsidRDefault="00B07D8E" w:rsidP="00B07D8E">
            <w:pPr>
              <w:rPr>
                <w:rFonts w:asciiTheme="majorHAnsi" w:hAnsiTheme="majorHAnsi"/>
                <w:sz w:val="20"/>
              </w:rPr>
            </w:pPr>
            <w:r>
              <w:rPr>
                <w:rFonts w:asciiTheme="majorHAnsi" w:hAnsiTheme="majorHAnsi"/>
                <w:sz w:val="20"/>
              </w:rPr>
              <w:t>Leverandør</w:t>
            </w:r>
            <w:r w:rsidRPr="007B36D9">
              <w:rPr>
                <w:rFonts w:asciiTheme="majorHAnsi" w:hAnsiTheme="majorHAnsi"/>
                <w:sz w:val="20"/>
              </w:rPr>
              <w:t xml:space="preserve">en skal påse at ansattes rettigheter i punkt </w:t>
            </w:r>
            <w:r w:rsidRPr="007B36D9">
              <w:rPr>
                <w:rFonts w:asciiTheme="majorHAnsi" w:hAnsiTheme="majorHAnsi"/>
                <w:sz w:val="20"/>
              </w:rPr>
              <w:fldChar w:fldCharType="begin"/>
            </w:r>
            <w:r w:rsidRPr="007B36D9">
              <w:rPr>
                <w:rFonts w:asciiTheme="majorHAnsi" w:hAnsiTheme="majorHAnsi"/>
                <w:sz w:val="20"/>
              </w:rPr>
              <w:instrText xml:space="preserve"> REF _Ref400436139 \r \h  \* MERGEFORMAT </w:instrText>
            </w:r>
            <w:r w:rsidRPr="007B36D9">
              <w:rPr>
                <w:rFonts w:asciiTheme="majorHAnsi" w:hAnsiTheme="majorHAnsi"/>
                <w:sz w:val="20"/>
              </w:rPr>
            </w:r>
            <w:r w:rsidRPr="007B36D9">
              <w:rPr>
                <w:rFonts w:asciiTheme="majorHAnsi" w:hAnsiTheme="majorHAnsi"/>
                <w:sz w:val="20"/>
              </w:rPr>
              <w:fldChar w:fldCharType="separate"/>
            </w:r>
            <w:r w:rsidRPr="007B36D9">
              <w:rPr>
                <w:rFonts w:asciiTheme="majorHAnsi" w:hAnsiTheme="majorHAnsi"/>
                <w:sz w:val="20"/>
              </w:rPr>
              <w:t>8.2.1</w:t>
            </w:r>
            <w:r w:rsidRPr="007B36D9">
              <w:rPr>
                <w:rFonts w:asciiTheme="majorHAnsi" w:hAnsiTheme="majorHAnsi"/>
                <w:sz w:val="20"/>
              </w:rPr>
              <w:fldChar w:fldCharType="end"/>
            </w:r>
            <w:r w:rsidRPr="007B36D9">
              <w:rPr>
                <w:rFonts w:asciiTheme="majorHAnsi" w:hAnsiTheme="majorHAnsi"/>
                <w:sz w:val="20"/>
              </w:rPr>
              <w:t xml:space="preserve"> etterleves i egen virksomhet og hos den eller de </w:t>
            </w:r>
            <w:r>
              <w:rPr>
                <w:rFonts w:asciiTheme="majorHAnsi" w:hAnsiTheme="majorHAnsi"/>
                <w:sz w:val="20"/>
              </w:rPr>
              <w:t>underleverandør</w:t>
            </w:r>
            <w:r w:rsidRPr="007B36D9">
              <w:rPr>
                <w:rFonts w:asciiTheme="majorHAnsi" w:hAnsiTheme="majorHAnsi"/>
                <w:sz w:val="20"/>
              </w:rPr>
              <w:t xml:space="preserve">er som medvirker til oppfyllelse av kontrakten. På oppfordring fra </w:t>
            </w:r>
            <w:r>
              <w:rPr>
                <w:rFonts w:asciiTheme="majorHAnsi" w:hAnsiTheme="majorHAnsi"/>
                <w:sz w:val="20"/>
              </w:rPr>
              <w:t>oppdragsgiver</w:t>
            </w:r>
            <w:r w:rsidRPr="007B36D9">
              <w:rPr>
                <w:rFonts w:asciiTheme="majorHAnsi" w:hAnsiTheme="majorHAnsi"/>
                <w:sz w:val="20"/>
              </w:rPr>
              <w:t xml:space="preserve"> skal dette dokumenteres ved:</w:t>
            </w:r>
          </w:p>
          <w:p w14:paraId="4F98B6A7" w14:textId="77777777" w:rsidR="00B07D8E" w:rsidRPr="007B36D9" w:rsidRDefault="00B07D8E" w:rsidP="009F2A02">
            <w:pPr>
              <w:pStyle w:val="Brdtekstpaaflgende"/>
              <w:numPr>
                <w:ilvl w:val="0"/>
                <w:numId w:val="2"/>
              </w:numPr>
              <w:rPr>
                <w:rFonts w:asciiTheme="majorHAnsi" w:hAnsiTheme="majorHAnsi"/>
                <w:sz w:val="20"/>
              </w:rPr>
            </w:pPr>
            <w:r w:rsidRPr="007B36D9">
              <w:rPr>
                <w:rFonts w:asciiTheme="majorHAnsi" w:hAnsiTheme="majorHAnsi"/>
                <w:sz w:val="20"/>
              </w:rPr>
              <w:t>Egenrapportering, og/eller</w:t>
            </w:r>
          </w:p>
          <w:p w14:paraId="30A4119D" w14:textId="77777777" w:rsidR="00B07D8E" w:rsidRPr="007B36D9" w:rsidRDefault="00B07D8E" w:rsidP="009F2A02">
            <w:pPr>
              <w:pStyle w:val="Brdtekstpaaflgende"/>
              <w:numPr>
                <w:ilvl w:val="0"/>
                <w:numId w:val="2"/>
              </w:numPr>
              <w:rPr>
                <w:rFonts w:asciiTheme="majorHAnsi" w:hAnsiTheme="majorHAnsi"/>
                <w:sz w:val="20"/>
              </w:rPr>
            </w:pPr>
            <w:r w:rsidRPr="007B36D9">
              <w:rPr>
                <w:rFonts w:asciiTheme="majorHAnsi" w:hAnsiTheme="majorHAnsi"/>
                <w:sz w:val="20"/>
              </w:rPr>
              <w:t>Oppfølgingssamtaler, og/eller</w:t>
            </w:r>
          </w:p>
          <w:p w14:paraId="214491EC" w14:textId="77777777" w:rsidR="00B07D8E" w:rsidRPr="007B36D9" w:rsidRDefault="00B07D8E" w:rsidP="009F2A02">
            <w:pPr>
              <w:pStyle w:val="Brdtekstpaaflgende"/>
              <w:numPr>
                <w:ilvl w:val="0"/>
                <w:numId w:val="2"/>
              </w:numPr>
              <w:rPr>
                <w:rFonts w:asciiTheme="majorHAnsi" w:hAnsiTheme="majorHAnsi"/>
                <w:sz w:val="20"/>
              </w:rPr>
            </w:pPr>
            <w:r w:rsidRPr="007B36D9">
              <w:rPr>
                <w:rFonts w:asciiTheme="majorHAnsi" w:hAnsiTheme="majorHAnsi"/>
                <w:sz w:val="20"/>
              </w:rPr>
              <w:t>En uavhengig parts kontroll av arbeidsforholdene, og/eller</w:t>
            </w:r>
          </w:p>
          <w:p w14:paraId="5E9ED510" w14:textId="77777777" w:rsidR="00B07D8E" w:rsidRPr="007B36D9" w:rsidRDefault="00B07D8E" w:rsidP="009F2A02">
            <w:pPr>
              <w:pStyle w:val="Brdtekstpaaflgende"/>
              <w:numPr>
                <w:ilvl w:val="0"/>
                <w:numId w:val="2"/>
              </w:numPr>
              <w:rPr>
                <w:rFonts w:asciiTheme="majorHAnsi" w:hAnsiTheme="majorHAnsi"/>
                <w:sz w:val="20"/>
              </w:rPr>
            </w:pPr>
            <w:r w:rsidRPr="007B36D9">
              <w:rPr>
                <w:rFonts w:asciiTheme="majorHAnsi" w:hAnsiTheme="majorHAnsi"/>
                <w:sz w:val="20"/>
              </w:rPr>
              <w:t>Tredjepartssertifisering som SA8000 eller tilsvarende.</w:t>
            </w:r>
          </w:p>
          <w:p w14:paraId="0E60A7D9" w14:textId="77777777" w:rsidR="00B07D8E" w:rsidRPr="007B36D9" w:rsidRDefault="00B07D8E" w:rsidP="00B07D8E">
            <w:pPr>
              <w:rPr>
                <w:rFonts w:asciiTheme="majorHAnsi" w:hAnsiTheme="majorHAnsi"/>
                <w:sz w:val="20"/>
              </w:rPr>
            </w:pPr>
          </w:p>
          <w:p w14:paraId="2D13EBED" w14:textId="16FF2CEC" w:rsidR="00B07D8E" w:rsidRPr="007B36D9" w:rsidRDefault="00B07D8E" w:rsidP="00B07D8E">
            <w:pPr>
              <w:rPr>
                <w:rFonts w:asciiTheme="majorHAnsi" w:hAnsiTheme="majorHAnsi"/>
                <w:sz w:val="20"/>
              </w:rPr>
            </w:pPr>
            <w:r>
              <w:rPr>
                <w:rFonts w:asciiTheme="majorHAnsi" w:hAnsiTheme="majorHAnsi"/>
                <w:sz w:val="20"/>
              </w:rPr>
              <w:t>Leverandør</w:t>
            </w:r>
            <w:r w:rsidRPr="007B36D9">
              <w:rPr>
                <w:rFonts w:asciiTheme="majorHAnsi" w:hAnsiTheme="majorHAnsi"/>
                <w:sz w:val="20"/>
              </w:rPr>
              <w:t xml:space="preserve">en har bevisbyrden for at de varer og materialer som leveres ikke innebærer et brudd på punkt </w:t>
            </w:r>
            <w:r w:rsidR="00304241">
              <w:rPr>
                <w:rFonts w:asciiTheme="majorHAnsi" w:hAnsiTheme="majorHAnsi"/>
                <w:sz w:val="20"/>
              </w:rPr>
              <w:t>11.5</w:t>
            </w:r>
            <w:r w:rsidRPr="007B36D9">
              <w:rPr>
                <w:rFonts w:asciiTheme="majorHAnsi" w:hAnsiTheme="majorHAnsi"/>
                <w:sz w:val="20"/>
              </w:rPr>
              <w:t xml:space="preserve"> ovenfor.</w:t>
            </w:r>
          </w:p>
          <w:p w14:paraId="3C647CEA" w14:textId="77777777" w:rsidR="000027D0" w:rsidRDefault="000027D0" w:rsidP="00973AE0">
            <w:pPr>
              <w:pStyle w:val="Heading4"/>
              <w:numPr>
                <w:ilvl w:val="0"/>
                <w:numId w:val="0"/>
              </w:numPr>
              <w:ind w:left="864"/>
              <w:rPr>
                <w:i w:val="0"/>
                <w:iCs w:val="0"/>
                <w:color w:val="auto"/>
                <w:sz w:val="20"/>
                <w:szCs w:val="20"/>
              </w:rPr>
            </w:pPr>
          </w:p>
        </w:tc>
      </w:tr>
      <w:tr w:rsidR="00973AE0" w:rsidRPr="00D44F06" w14:paraId="1D5E4076" w14:textId="77777777" w:rsidTr="0044683D">
        <w:trPr>
          <w:trHeight w:val="340"/>
        </w:trPr>
        <w:tc>
          <w:tcPr>
            <w:tcW w:w="1413" w:type="dxa"/>
          </w:tcPr>
          <w:p w14:paraId="24FCA348" w14:textId="5EAAF241" w:rsidR="00973AE0" w:rsidRDefault="004E227A" w:rsidP="000027D0">
            <w:r>
              <w:t>Nytt pkt</w:t>
            </w:r>
            <w:r w:rsidR="00A50216">
              <w:t>.</w:t>
            </w:r>
          </w:p>
        </w:tc>
        <w:tc>
          <w:tcPr>
            <w:tcW w:w="7647" w:type="dxa"/>
          </w:tcPr>
          <w:p w14:paraId="32762B3D" w14:textId="5C3733F4" w:rsidR="00310C04" w:rsidRDefault="00310C04" w:rsidP="009F2A02">
            <w:pPr>
              <w:pStyle w:val="Heading3"/>
              <w:numPr>
                <w:ilvl w:val="2"/>
                <w:numId w:val="1"/>
              </w:numPr>
            </w:pPr>
            <w:bookmarkStart w:id="2" w:name="_Ref63686484"/>
            <w:r w:rsidRPr="007B36D9">
              <w:t>Brudd</w:t>
            </w:r>
            <w:bookmarkEnd w:id="2"/>
          </w:p>
          <w:p w14:paraId="7A659CEC" w14:textId="65F14D50" w:rsidR="00310C04" w:rsidRPr="007B36D9" w:rsidRDefault="00310C04" w:rsidP="00310C04">
            <w:pPr>
              <w:rPr>
                <w:rFonts w:ascii="Cambria" w:hAnsi="Cambria"/>
                <w:sz w:val="20"/>
              </w:rPr>
            </w:pPr>
            <w:r w:rsidRPr="007B36D9">
              <w:rPr>
                <w:rFonts w:ascii="Cambria" w:hAnsi="Cambria"/>
                <w:sz w:val="20"/>
              </w:rPr>
              <w:t xml:space="preserve">Brudd på punkt </w:t>
            </w:r>
            <w:r>
              <w:rPr>
                <w:rFonts w:ascii="Cambria" w:hAnsi="Cambria"/>
                <w:sz w:val="20"/>
              </w:rPr>
              <w:t xml:space="preserve">11.5.1 </w:t>
            </w:r>
            <w:r w:rsidRPr="007B36D9">
              <w:rPr>
                <w:rFonts w:ascii="Cambria" w:hAnsi="Cambria"/>
                <w:sz w:val="20"/>
              </w:rPr>
              <w:t xml:space="preserve">eller </w:t>
            </w:r>
            <w:r w:rsidR="00003445">
              <w:rPr>
                <w:rFonts w:ascii="Cambria" w:hAnsi="Cambria"/>
                <w:sz w:val="20"/>
              </w:rPr>
              <w:t>11.5.2</w:t>
            </w:r>
            <w:r w:rsidRPr="007B36D9">
              <w:rPr>
                <w:rFonts w:ascii="Cambria" w:hAnsi="Cambria"/>
                <w:sz w:val="20"/>
              </w:rPr>
              <w:fldChar w:fldCharType="begin"/>
            </w:r>
            <w:r w:rsidRPr="007B36D9">
              <w:rPr>
                <w:rFonts w:ascii="Cambria" w:hAnsi="Cambria"/>
                <w:sz w:val="20"/>
              </w:rPr>
              <w:instrText xml:space="preserve"> REF _Ref400436403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fldChar w:fldCharType="end"/>
            </w:r>
            <w:r w:rsidRPr="007B36D9">
              <w:rPr>
                <w:rFonts w:ascii="Cambria" w:hAnsi="Cambria"/>
                <w:sz w:val="20"/>
              </w:rPr>
              <w:t xml:space="preserve"> innebærer mislighold av kontrakten. Ved slikt mislighold plikter </w:t>
            </w:r>
            <w:r>
              <w:rPr>
                <w:rFonts w:ascii="Cambria" w:hAnsi="Cambria"/>
                <w:sz w:val="20"/>
              </w:rPr>
              <w:t>leverandør</w:t>
            </w:r>
            <w:r w:rsidRPr="007B36D9">
              <w:rPr>
                <w:rFonts w:ascii="Cambria" w:hAnsi="Cambria"/>
                <w:sz w:val="20"/>
              </w:rPr>
              <w:t xml:space="preserve">en å rette de påpekte manglene, uavhengig av kostnadene ved slik retting, innen en tidsfrist som </w:t>
            </w:r>
            <w:r>
              <w:rPr>
                <w:rFonts w:ascii="Cambria" w:hAnsi="Cambria"/>
                <w:sz w:val="20"/>
              </w:rPr>
              <w:t>oppdragsgiver</w:t>
            </w:r>
            <w:r w:rsidRPr="007B36D9">
              <w:rPr>
                <w:rFonts w:ascii="Cambria" w:hAnsi="Cambria"/>
                <w:sz w:val="20"/>
              </w:rPr>
              <w:t xml:space="preserve"> bestemmer, så lenge fristen ikke er urimelig kort. Rettelsene skal dokumenteres skriftlig og på den måten </w:t>
            </w:r>
            <w:r>
              <w:rPr>
                <w:rFonts w:ascii="Cambria" w:hAnsi="Cambria"/>
                <w:sz w:val="20"/>
              </w:rPr>
              <w:t>oppdragsgiver</w:t>
            </w:r>
            <w:r w:rsidRPr="007B36D9">
              <w:rPr>
                <w:rFonts w:ascii="Cambria" w:hAnsi="Cambria"/>
                <w:sz w:val="20"/>
              </w:rPr>
              <w:t xml:space="preserve"> bestemmer. </w:t>
            </w:r>
            <w:r>
              <w:rPr>
                <w:rFonts w:ascii="Cambria" w:hAnsi="Cambria"/>
                <w:sz w:val="20"/>
              </w:rPr>
              <w:t>Oppdragsgiver</w:t>
            </w:r>
            <w:r w:rsidRPr="007B36D9">
              <w:rPr>
                <w:rFonts w:ascii="Cambria" w:hAnsi="Cambria"/>
                <w:sz w:val="20"/>
              </w:rPr>
              <w:t xml:space="preserve"> har rett til å holde tilbake deler av kontraktssummen, tilsvarende ca. to ganger besparelsen for </w:t>
            </w:r>
            <w:r>
              <w:rPr>
                <w:rFonts w:ascii="Cambria" w:hAnsi="Cambria"/>
                <w:sz w:val="20"/>
              </w:rPr>
              <w:t>leverandør</w:t>
            </w:r>
            <w:r w:rsidRPr="007B36D9">
              <w:rPr>
                <w:rFonts w:ascii="Cambria" w:hAnsi="Cambria"/>
                <w:sz w:val="20"/>
              </w:rPr>
              <w:t xml:space="preserve">en, til det er dokumentert at forholdet er rettet. </w:t>
            </w:r>
          </w:p>
          <w:p w14:paraId="293F680F" w14:textId="77777777" w:rsidR="00310C04" w:rsidRPr="007B36D9" w:rsidRDefault="00310C04" w:rsidP="00310C04">
            <w:pPr>
              <w:rPr>
                <w:rFonts w:ascii="Cambria" w:hAnsi="Cambria"/>
                <w:sz w:val="20"/>
              </w:rPr>
            </w:pPr>
            <w:r w:rsidRPr="007B36D9">
              <w:rPr>
                <w:rFonts w:ascii="Cambria" w:hAnsi="Cambria"/>
                <w:sz w:val="20"/>
              </w:rPr>
              <w:t xml:space="preserve">Ved manglende utbedring vil det etter </w:t>
            </w:r>
            <w:r>
              <w:rPr>
                <w:rFonts w:ascii="Cambria" w:hAnsi="Cambria"/>
                <w:sz w:val="20"/>
              </w:rPr>
              <w:t>oppdragsgiver</w:t>
            </w:r>
            <w:r w:rsidRPr="007B36D9">
              <w:rPr>
                <w:rFonts w:ascii="Cambria" w:hAnsi="Cambria"/>
                <w:sz w:val="20"/>
              </w:rPr>
              <w:t xml:space="preserve">s skjønn kunne påløpe en bot på inntil 1 % av kontraktssummen per mislighold. Likeartede brudd anses som ett mislighold. Vesentlig mislighold av plikter som følger av punkt </w:t>
            </w:r>
            <w:r w:rsidRPr="007B36D9">
              <w:rPr>
                <w:rFonts w:ascii="Cambria" w:hAnsi="Cambria"/>
                <w:sz w:val="20"/>
              </w:rPr>
              <w:fldChar w:fldCharType="begin"/>
            </w:r>
            <w:r w:rsidRPr="007B36D9">
              <w:rPr>
                <w:rFonts w:ascii="Cambria" w:hAnsi="Cambria"/>
                <w:sz w:val="20"/>
              </w:rPr>
              <w:instrText xml:space="preserve"> REF _Ref400436139 \r \h  \* MERGEFORMAT </w:instrText>
            </w:r>
            <w:r w:rsidRPr="007B36D9">
              <w:rPr>
                <w:rFonts w:ascii="Cambria" w:hAnsi="Cambria"/>
                <w:sz w:val="20"/>
              </w:rPr>
            </w:r>
            <w:r w:rsidRPr="007B36D9">
              <w:rPr>
                <w:rFonts w:ascii="Cambria" w:hAnsi="Cambria"/>
                <w:sz w:val="20"/>
              </w:rPr>
              <w:fldChar w:fldCharType="separate"/>
            </w:r>
            <w:r>
              <w:rPr>
                <w:rFonts w:ascii="Cambria" w:hAnsi="Cambria"/>
                <w:sz w:val="20"/>
              </w:rPr>
              <w:t>7</w:t>
            </w:r>
            <w:r w:rsidRPr="007B36D9">
              <w:rPr>
                <w:rFonts w:ascii="Cambria" w:hAnsi="Cambria"/>
                <w:sz w:val="20"/>
              </w:rPr>
              <w:t>.2.1</w:t>
            </w:r>
            <w:r w:rsidRPr="007B36D9">
              <w:rPr>
                <w:rFonts w:ascii="Cambria" w:hAnsi="Cambria"/>
                <w:sz w:val="20"/>
              </w:rPr>
              <w:fldChar w:fldCharType="end"/>
            </w:r>
            <w:r w:rsidRPr="007B36D9">
              <w:rPr>
                <w:rFonts w:ascii="Cambria" w:hAnsi="Cambria"/>
                <w:sz w:val="20"/>
              </w:rPr>
              <w:t xml:space="preserve"> eller </w:t>
            </w:r>
            <w:r w:rsidRPr="007B36D9">
              <w:rPr>
                <w:rFonts w:ascii="Cambria" w:hAnsi="Cambria"/>
                <w:sz w:val="20"/>
              </w:rPr>
              <w:fldChar w:fldCharType="begin"/>
            </w:r>
            <w:r w:rsidRPr="007B36D9">
              <w:rPr>
                <w:rFonts w:ascii="Cambria" w:hAnsi="Cambria"/>
                <w:sz w:val="20"/>
              </w:rPr>
              <w:instrText xml:space="preserve"> REF _Ref400436403 \r \h  \* MERGEFORMAT </w:instrText>
            </w:r>
            <w:r w:rsidRPr="007B36D9">
              <w:rPr>
                <w:rFonts w:ascii="Cambria" w:hAnsi="Cambria"/>
                <w:sz w:val="20"/>
              </w:rPr>
            </w:r>
            <w:r w:rsidRPr="007B36D9">
              <w:rPr>
                <w:rFonts w:ascii="Cambria" w:hAnsi="Cambria"/>
                <w:sz w:val="20"/>
              </w:rPr>
              <w:fldChar w:fldCharType="separate"/>
            </w:r>
            <w:r>
              <w:rPr>
                <w:rFonts w:ascii="Cambria" w:hAnsi="Cambria"/>
                <w:sz w:val="20"/>
              </w:rPr>
              <w:t>7</w:t>
            </w:r>
            <w:r w:rsidRPr="007B36D9">
              <w:rPr>
                <w:rFonts w:ascii="Cambria" w:hAnsi="Cambria"/>
                <w:sz w:val="20"/>
              </w:rPr>
              <w:t>.2.2</w:t>
            </w:r>
            <w:r w:rsidRPr="007B36D9">
              <w:rPr>
                <w:rFonts w:ascii="Cambria" w:hAnsi="Cambria"/>
                <w:sz w:val="20"/>
              </w:rPr>
              <w:fldChar w:fldCharType="end"/>
            </w:r>
            <w:r w:rsidRPr="007B36D9">
              <w:rPr>
                <w:rFonts w:ascii="Cambria" w:hAnsi="Cambria"/>
                <w:sz w:val="20"/>
              </w:rPr>
              <w:t xml:space="preserve"> kan påberopes som grunnlag for heving, selv om </w:t>
            </w:r>
            <w:r>
              <w:rPr>
                <w:rFonts w:ascii="Cambria" w:hAnsi="Cambria"/>
                <w:sz w:val="20"/>
              </w:rPr>
              <w:t>leverandør</w:t>
            </w:r>
            <w:r w:rsidRPr="007B36D9">
              <w:rPr>
                <w:rFonts w:ascii="Cambria" w:hAnsi="Cambria"/>
                <w:sz w:val="20"/>
              </w:rPr>
              <w:t xml:space="preserve">en retter forholdet.  Dersom misligholdet har skjedd hos </w:t>
            </w:r>
            <w:r>
              <w:rPr>
                <w:rFonts w:ascii="Cambria" w:hAnsi="Cambria"/>
                <w:sz w:val="20"/>
              </w:rPr>
              <w:t>underleverandør</w:t>
            </w:r>
            <w:r w:rsidRPr="007B36D9">
              <w:rPr>
                <w:rFonts w:ascii="Cambria" w:hAnsi="Cambria"/>
                <w:sz w:val="20"/>
              </w:rPr>
              <w:t xml:space="preserve">, herunder bemanningsselskaper, kan </w:t>
            </w:r>
            <w:r>
              <w:rPr>
                <w:rFonts w:ascii="Cambria" w:hAnsi="Cambria"/>
                <w:sz w:val="20"/>
              </w:rPr>
              <w:t>oppdragsgiver</w:t>
            </w:r>
            <w:r w:rsidRPr="007B36D9">
              <w:rPr>
                <w:rFonts w:ascii="Cambria" w:hAnsi="Cambria"/>
                <w:sz w:val="20"/>
              </w:rPr>
              <w:t xml:space="preserve"> på samme måte kreve at </w:t>
            </w:r>
            <w:r>
              <w:rPr>
                <w:rFonts w:ascii="Cambria" w:hAnsi="Cambria"/>
                <w:sz w:val="20"/>
              </w:rPr>
              <w:t>leverandør</w:t>
            </w:r>
            <w:r w:rsidRPr="007B36D9">
              <w:rPr>
                <w:rFonts w:ascii="Cambria" w:hAnsi="Cambria"/>
                <w:sz w:val="20"/>
              </w:rPr>
              <w:t xml:space="preserve">en skifter ut </w:t>
            </w:r>
            <w:r>
              <w:rPr>
                <w:rFonts w:ascii="Cambria" w:hAnsi="Cambria"/>
                <w:sz w:val="20"/>
              </w:rPr>
              <w:t>underleverandør</w:t>
            </w:r>
            <w:r w:rsidRPr="007B36D9">
              <w:rPr>
                <w:rFonts w:ascii="Cambria" w:hAnsi="Cambria"/>
                <w:sz w:val="20"/>
              </w:rPr>
              <w:t xml:space="preserve">en. Dette skal skje uten omkostninger for </w:t>
            </w:r>
            <w:r>
              <w:rPr>
                <w:rFonts w:ascii="Cambria" w:hAnsi="Cambria"/>
                <w:sz w:val="20"/>
              </w:rPr>
              <w:t>oppdragsgiver</w:t>
            </w:r>
            <w:r w:rsidRPr="007B36D9">
              <w:rPr>
                <w:rFonts w:ascii="Cambria" w:hAnsi="Cambria"/>
                <w:sz w:val="20"/>
              </w:rPr>
              <w:t xml:space="preserve">. </w:t>
            </w:r>
            <w:r>
              <w:rPr>
                <w:rFonts w:ascii="Cambria" w:hAnsi="Cambria"/>
                <w:sz w:val="20"/>
              </w:rPr>
              <w:t>Leverandør</w:t>
            </w:r>
            <w:r w:rsidRPr="007B36D9">
              <w:rPr>
                <w:rFonts w:ascii="Cambria" w:hAnsi="Cambria"/>
                <w:sz w:val="20"/>
              </w:rPr>
              <w:t xml:space="preserve">en blir videre ansvarlig for det tap som </w:t>
            </w:r>
            <w:r>
              <w:rPr>
                <w:rFonts w:ascii="Cambria" w:hAnsi="Cambria"/>
                <w:sz w:val="20"/>
              </w:rPr>
              <w:t>oppdragsgiver</w:t>
            </w:r>
            <w:r w:rsidRPr="007B36D9">
              <w:rPr>
                <w:rFonts w:ascii="Cambria" w:hAnsi="Cambria"/>
                <w:sz w:val="20"/>
              </w:rPr>
              <w:t xml:space="preserve"> lider som følge av mangelen. Eventuell erstatning kommer i tillegg til ovennevnte bot. </w:t>
            </w:r>
          </w:p>
          <w:p w14:paraId="771A0E37" w14:textId="1534B766" w:rsidR="00310C04" w:rsidRPr="007B36D9" w:rsidRDefault="00310C04" w:rsidP="00310C04">
            <w:pPr>
              <w:rPr>
                <w:rFonts w:ascii="Cambria" w:hAnsi="Cambria"/>
                <w:sz w:val="20"/>
              </w:rPr>
            </w:pPr>
            <w:r w:rsidRPr="007B36D9">
              <w:rPr>
                <w:rFonts w:ascii="Cambria" w:hAnsi="Cambria"/>
                <w:sz w:val="20"/>
              </w:rPr>
              <w:t xml:space="preserve">Alle avtaler </w:t>
            </w:r>
            <w:r>
              <w:rPr>
                <w:rFonts w:ascii="Cambria" w:hAnsi="Cambria"/>
                <w:sz w:val="20"/>
              </w:rPr>
              <w:t>leverandør</w:t>
            </w:r>
            <w:r w:rsidRPr="007B36D9">
              <w:rPr>
                <w:rFonts w:ascii="Cambria" w:hAnsi="Cambria"/>
                <w:sz w:val="20"/>
              </w:rPr>
              <w:t>en inngår for utføring av arbeid under denne kontrakten, skal inneholde tilsvarende bestemmelser som for punkt</w:t>
            </w:r>
            <w:r w:rsidR="004E227A">
              <w:rPr>
                <w:rFonts w:ascii="Cambria" w:hAnsi="Cambria"/>
                <w:sz w:val="20"/>
              </w:rPr>
              <w:t xml:space="preserve"> 11.5.1</w:t>
            </w:r>
            <w:r w:rsidR="00FE55BA">
              <w:rPr>
                <w:rFonts w:ascii="Cambria" w:hAnsi="Cambria"/>
                <w:sz w:val="20"/>
              </w:rPr>
              <w:t>, 11.5.2 og 11.5.3.</w:t>
            </w:r>
          </w:p>
          <w:p w14:paraId="0B10C4E5" w14:textId="77777777" w:rsidR="00973AE0" w:rsidRDefault="00973AE0" w:rsidP="004E227A">
            <w:pPr>
              <w:pStyle w:val="Heading3"/>
              <w:numPr>
                <w:ilvl w:val="0"/>
                <w:numId w:val="0"/>
              </w:numPr>
            </w:pPr>
          </w:p>
        </w:tc>
      </w:tr>
      <w:tr w:rsidR="0042251F" w:rsidRPr="00D44F06" w14:paraId="77112CF6" w14:textId="77777777" w:rsidTr="0044683D">
        <w:trPr>
          <w:trHeight w:val="340"/>
        </w:trPr>
        <w:tc>
          <w:tcPr>
            <w:tcW w:w="1413" w:type="dxa"/>
          </w:tcPr>
          <w:p w14:paraId="314B6AFC" w14:textId="779D0A8E" w:rsidR="0042251F" w:rsidRDefault="00A50216" w:rsidP="0042251F">
            <w:r>
              <w:t>Nytt pkt.</w:t>
            </w:r>
          </w:p>
        </w:tc>
        <w:tc>
          <w:tcPr>
            <w:tcW w:w="7647" w:type="dxa"/>
          </w:tcPr>
          <w:p w14:paraId="456A48FA" w14:textId="77777777" w:rsidR="0042251F" w:rsidRPr="00F82919" w:rsidRDefault="0042251F" w:rsidP="0042251F">
            <w:pPr>
              <w:pStyle w:val="Heading3"/>
              <w:numPr>
                <w:ilvl w:val="1"/>
                <w:numId w:val="1"/>
              </w:numPr>
            </w:pPr>
            <w:r w:rsidRPr="00F82919">
              <w:t>Ivaretakelse av grunnleggende menneskerettigheter i leverandørkjeden</w:t>
            </w:r>
          </w:p>
          <w:p w14:paraId="197E7D15" w14:textId="77777777" w:rsidR="0042251F" w:rsidRPr="00780BB3" w:rsidRDefault="0042251F" w:rsidP="0042251F">
            <w:pPr>
              <w:rPr>
                <w:rFonts w:asciiTheme="majorHAnsi" w:hAnsiTheme="majorHAnsi"/>
                <w:sz w:val="20"/>
                <w:szCs w:val="20"/>
              </w:rPr>
            </w:pPr>
            <w:r w:rsidRPr="00780BB3">
              <w:rPr>
                <w:rFonts w:asciiTheme="majorHAnsi" w:hAnsiTheme="majorHAnsi"/>
                <w:sz w:val="20"/>
                <w:szCs w:val="20"/>
              </w:rPr>
              <w:t xml:space="preserve">Dette </w:t>
            </w:r>
            <w:proofErr w:type="spellStart"/>
            <w:r w:rsidRPr="00780BB3">
              <w:rPr>
                <w:rFonts w:asciiTheme="majorHAnsi" w:hAnsiTheme="majorHAnsi"/>
                <w:sz w:val="20"/>
                <w:szCs w:val="20"/>
              </w:rPr>
              <w:t>kontraktskravet</w:t>
            </w:r>
            <w:proofErr w:type="spellEnd"/>
            <w:r w:rsidRPr="00780BB3">
              <w:rPr>
                <w:rFonts w:asciiTheme="majorHAnsi" w:hAnsiTheme="majorHAnsi"/>
                <w:sz w:val="20"/>
                <w:szCs w:val="20"/>
              </w:rPr>
              <w:t xml:space="preserve"> gjelder for </w:t>
            </w:r>
            <w:r>
              <w:rPr>
                <w:rFonts w:asciiTheme="majorHAnsi" w:hAnsiTheme="majorHAnsi"/>
                <w:sz w:val="20"/>
                <w:szCs w:val="20"/>
              </w:rPr>
              <w:t>leverandørene</w:t>
            </w:r>
            <w:r w:rsidRPr="00780BB3">
              <w:rPr>
                <w:rFonts w:asciiTheme="majorHAnsi" w:hAnsiTheme="majorHAnsi"/>
                <w:sz w:val="20"/>
                <w:szCs w:val="20"/>
              </w:rPr>
              <w:t xml:space="preserve"> som faller inn under virkeområdet til åpenhetsloven, jf. åpenhetsloven § 2. </w:t>
            </w:r>
          </w:p>
          <w:p w14:paraId="24915570" w14:textId="77777777" w:rsidR="0042251F" w:rsidRDefault="0042251F" w:rsidP="0042251F">
            <w:pPr>
              <w:rPr>
                <w:rFonts w:asciiTheme="majorHAnsi" w:hAnsiTheme="majorHAnsi"/>
                <w:sz w:val="20"/>
                <w:szCs w:val="20"/>
              </w:rPr>
            </w:pPr>
            <w:r>
              <w:rPr>
                <w:rFonts w:asciiTheme="majorHAnsi" w:hAnsiTheme="majorHAnsi"/>
                <w:sz w:val="20"/>
                <w:szCs w:val="20"/>
              </w:rPr>
              <w:t>Leverandøren</w:t>
            </w:r>
            <w:r w:rsidRPr="00780BB3">
              <w:rPr>
                <w:rFonts w:asciiTheme="majorHAnsi" w:hAnsiTheme="majorHAnsi"/>
                <w:sz w:val="20"/>
                <w:szCs w:val="20"/>
              </w:rPr>
              <w:t xml:space="preserve"> skal under hele kontraktsperioden overholde punktene i dette kontraktsvilkåret for å ivareta åpenhetslovens krav til dokumentasjon, og gjennomføring og oppfølging av aktsomhetsvurderinger. Kontraktsvilkårene bygger på FNs veiledende prinsipper for næringsliv og menneskerettigheter og OECDs retningslinjer for ansvarlig næringsliv med aktsomhetsvurderinger som metode. </w:t>
            </w:r>
          </w:p>
          <w:p w14:paraId="35541E0A" w14:textId="683F4E59" w:rsidR="0042251F" w:rsidRPr="0088627E" w:rsidRDefault="0088627E" w:rsidP="0088627E">
            <w:pPr>
              <w:rPr>
                <w:rFonts w:asciiTheme="majorHAnsi" w:hAnsiTheme="majorHAnsi"/>
                <w:sz w:val="20"/>
                <w:szCs w:val="20"/>
              </w:rPr>
            </w:pPr>
            <w:r>
              <w:rPr>
                <w:rFonts w:asciiTheme="majorHAnsi" w:hAnsiTheme="majorHAnsi"/>
                <w:sz w:val="20"/>
                <w:szCs w:val="20"/>
              </w:rPr>
              <w:t>Dersom leverandøren bruker underleverandører for å oppfylle denne kontrakt, er leverandøren forpliktet til å videreføre og bidra til etterlevelse av kravene i leverandørkjeden.</w:t>
            </w:r>
          </w:p>
        </w:tc>
      </w:tr>
      <w:tr w:rsidR="00A50216" w:rsidRPr="00D44F06" w14:paraId="3D06054A" w14:textId="77777777" w:rsidTr="0044683D">
        <w:trPr>
          <w:trHeight w:val="340"/>
        </w:trPr>
        <w:tc>
          <w:tcPr>
            <w:tcW w:w="1413" w:type="dxa"/>
          </w:tcPr>
          <w:p w14:paraId="2BB64571" w14:textId="792BD544" w:rsidR="00A50216" w:rsidRDefault="00A50216" w:rsidP="00A50216">
            <w:r>
              <w:lastRenderedPageBreak/>
              <w:t>Nytt pkt.</w:t>
            </w:r>
          </w:p>
        </w:tc>
        <w:tc>
          <w:tcPr>
            <w:tcW w:w="7647" w:type="dxa"/>
          </w:tcPr>
          <w:p w14:paraId="6D446573" w14:textId="77777777" w:rsidR="00A50216" w:rsidRPr="00F82919" w:rsidRDefault="00A50216" w:rsidP="00A50216">
            <w:pPr>
              <w:pStyle w:val="Heading3"/>
              <w:numPr>
                <w:ilvl w:val="2"/>
                <w:numId w:val="1"/>
              </w:numPr>
            </w:pPr>
            <w:r w:rsidRPr="00F82919">
              <w:t>Retningslinjer og prosedyrer for aktsomhetsvurderinger</w:t>
            </w:r>
          </w:p>
          <w:p w14:paraId="73F4DEBE" w14:textId="77777777" w:rsidR="00A50216" w:rsidRPr="00780BB3" w:rsidRDefault="00A50216" w:rsidP="00A50216">
            <w:pPr>
              <w:rPr>
                <w:rFonts w:asciiTheme="majorHAnsi" w:hAnsiTheme="majorHAnsi"/>
                <w:sz w:val="20"/>
                <w:szCs w:val="20"/>
              </w:rPr>
            </w:pPr>
            <w:r w:rsidRPr="00780BB3">
              <w:rPr>
                <w:rFonts w:asciiTheme="majorHAnsi" w:hAnsiTheme="majorHAnsi"/>
                <w:sz w:val="20"/>
                <w:szCs w:val="20"/>
              </w:rPr>
              <w:t>For å sikre etterlevelse av kravene i punkt</w:t>
            </w:r>
            <w:r>
              <w:rPr>
                <w:rFonts w:asciiTheme="majorHAnsi" w:hAnsiTheme="majorHAnsi"/>
                <w:sz w:val="20"/>
                <w:szCs w:val="20"/>
              </w:rPr>
              <w:t xml:space="preserve">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11.6</w:t>
            </w:r>
            <w:r>
              <w:rPr>
                <w:rFonts w:asciiTheme="majorHAnsi" w:hAnsiTheme="majorHAnsi"/>
                <w:sz w:val="20"/>
                <w:szCs w:val="20"/>
              </w:rPr>
              <w:fldChar w:fldCharType="end"/>
            </w:r>
            <w:r w:rsidRPr="00780BB3">
              <w:rPr>
                <w:rFonts w:asciiTheme="majorHAnsi" w:hAnsiTheme="majorHAnsi"/>
                <w:sz w:val="20"/>
                <w:szCs w:val="20"/>
              </w:rPr>
              <w:t xml:space="preserve">, samt for å forebygge og håndtere eventuelle avvik fra kravene, skal </w:t>
            </w:r>
            <w:r>
              <w:rPr>
                <w:rFonts w:asciiTheme="majorHAnsi" w:hAnsiTheme="majorHAnsi"/>
                <w:sz w:val="20"/>
                <w:szCs w:val="20"/>
              </w:rPr>
              <w:t>leverandøren</w:t>
            </w:r>
            <w:r w:rsidRPr="00780BB3">
              <w:rPr>
                <w:rFonts w:asciiTheme="majorHAnsi" w:hAnsiTheme="majorHAnsi"/>
                <w:sz w:val="20"/>
                <w:szCs w:val="20"/>
              </w:rPr>
              <w:t xml:space="preserve"> senest innen 6 måneder etter kontraktsinngåelse, ha retningslinjer og prosedyrer på plass for aktsomhetsvurdering. </w:t>
            </w:r>
          </w:p>
          <w:p w14:paraId="14120381" w14:textId="77777777" w:rsidR="00A50216" w:rsidRPr="00780BB3" w:rsidRDefault="00A50216" w:rsidP="00A50216">
            <w:pPr>
              <w:rPr>
                <w:rFonts w:asciiTheme="majorHAnsi" w:hAnsiTheme="majorHAnsi"/>
                <w:sz w:val="20"/>
                <w:szCs w:val="20"/>
              </w:rPr>
            </w:pPr>
            <w:r w:rsidRPr="00780BB3">
              <w:rPr>
                <w:rFonts w:asciiTheme="majorHAnsi" w:hAnsiTheme="majorHAnsi"/>
                <w:sz w:val="20"/>
                <w:szCs w:val="20"/>
              </w:rPr>
              <w:t xml:space="preserve">Det betyr at </w:t>
            </w:r>
            <w:r>
              <w:rPr>
                <w:rFonts w:asciiTheme="majorHAnsi" w:hAnsiTheme="majorHAnsi"/>
                <w:sz w:val="20"/>
                <w:szCs w:val="20"/>
              </w:rPr>
              <w:t>leverandøren</w:t>
            </w:r>
            <w:r w:rsidRPr="00780BB3">
              <w:rPr>
                <w:rFonts w:asciiTheme="majorHAnsi" w:hAnsiTheme="majorHAnsi"/>
                <w:sz w:val="20"/>
                <w:szCs w:val="20"/>
              </w:rPr>
              <w:t xml:space="preserve"> skal kartlegge, forebygge, begrense og gjøre rede for hvordan de håndterer risiko for negativ påvirkning på kravene i punkt </w:t>
            </w:r>
            <w:r>
              <w:rPr>
                <w:rFonts w:asciiTheme="majorHAnsi" w:hAnsiTheme="majorHAnsi"/>
                <w:sz w:val="20"/>
                <w:szCs w:val="20"/>
              </w:rPr>
              <w:t>11.6</w:t>
            </w:r>
            <w:r w:rsidRPr="00780BB3">
              <w:rPr>
                <w:rFonts w:asciiTheme="majorHAnsi" w:hAnsiTheme="majorHAnsi"/>
                <w:sz w:val="20"/>
                <w:szCs w:val="20"/>
              </w:rPr>
              <w:t xml:space="preserve">, og retter opp skade.  I tråd med metoden for aktsomhetsvurderinger skal interessenter, særlig berørte rettighetshavere, involveres. Alvorligst risiko, uavhengig av hvor i leverandørkjeden risikoen er, prioriteres først. </w:t>
            </w:r>
          </w:p>
          <w:p w14:paraId="121D35AC" w14:textId="77777777" w:rsidR="00A50216" w:rsidRPr="00780BB3" w:rsidRDefault="00A50216" w:rsidP="00A50216">
            <w:pPr>
              <w:rPr>
                <w:rFonts w:asciiTheme="majorHAnsi" w:hAnsiTheme="majorHAnsi"/>
                <w:sz w:val="20"/>
                <w:szCs w:val="20"/>
              </w:rPr>
            </w:pPr>
            <w:r w:rsidRPr="00780BB3">
              <w:rPr>
                <w:rFonts w:asciiTheme="majorHAnsi" w:hAnsiTheme="majorHAnsi"/>
                <w:sz w:val="20"/>
                <w:szCs w:val="20"/>
              </w:rPr>
              <w:t xml:space="preserve">Senest innen 6 måneder etter kontraktsinngåelse, skal </w:t>
            </w:r>
            <w:r>
              <w:rPr>
                <w:rFonts w:asciiTheme="majorHAnsi" w:hAnsiTheme="majorHAnsi"/>
                <w:sz w:val="20"/>
                <w:szCs w:val="20"/>
              </w:rPr>
              <w:t>leverandøren</w:t>
            </w:r>
            <w:r w:rsidRPr="00780BB3">
              <w:rPr>
                <w:rFonts w:asciiTheme="majorHAnsi" w:hAnsiTheme="majorHAnsi"/>
                <w:sz w:val="20"/>
                <w:szCs w:val="20"/>
              </w:rPr>
              <w:t xml:space="preserve"> ha:  </w:t>
            </w:r>
          </w:p>
          <w:p w14:paraId="05A0B7BE" w14:textId="77777777" w:rsidR="00A50216" w:rsidRPr="00780BB3" w:rsidRDefault="00A50216" w:rsidP="00A50216">
            <w:pPr>
              <w:pStyle w:val="ListParagraph"/>
              <w:numPr>
                <w:ilvl w:val="0"/>
                <w:numId w:val="9"/>
              </w:numPr>
              <w:rPr>
                <w:rFonts w:asciiTheme="majorHAnsi" w:hAnsiTheme="majorHAnsi"/>
                <w:sz w:val="20"/>
                <w:szCs w:val="20"/>
              </w:rPr>
            </w:pPr>
            <w:r w:rsidRPr="00780BB3">
              <w:rPr>
                <w:rFonts w:asciiTheme="majorHAnsi" w:hAnsiTheme="majorHAnsi"/>
                <w:sz w:val="20"/>
                <w:szCs w:val="20"/>
              </w:rPr>
              <w:t xml:space="preserve">En eller flere offentlig tilgjengelige retningslinjer for ivaretakelse av grunnleggende menneskerettigheter i leverandørkjeden, vedtatt av styret. Innholdet skal som minimum omfatte en forpliktelse om å etterleve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11.6</w:t>
            </w:r>
            <w:r>
              <w:rPr>
                <w:rFonts w:asciiTheme="majorHAnsi" w:hAnsiTheme="majorHAnsi"/>
                <w:sz w:val="20"/>
                <w:szCs w:val="20"/>
              </w:rPr>
              <w:fldChar w:fldCharType="end"/>
            </w:r>
            <w:r w:rsidRPr="00780BB3">
              <w:rPr>
                <w:rFonts w:asciiTheme="majorHAnsi" w:hAnsiTheme="majorHAnsi"/>
                <w:sz w:val="20"/>
                <w:szCs w:val="20"/>
              </w:rPr>
              <w:t>, i egen virksomhet og i leverandørkjeden. </w:t>
            </w:r>
          </w:p>
          <w:p w14:paraId="01B5A69B" w14:textId="77777777" w:rsidR="00A50216" w:rsidRPr="00780BB3" w:rsidRDefault="00A50216" w:rsidP="00A50216">
            <w:pPr>
              <w:pStyle w:val="ListParagraph"/>
              <w:numPr>
                <w:ilvl w:val="0"/>
                <w:numId w:val="9"/>
              </w:numPr>
              <w:rPr>
                <w:rFonts w:asciiTheme="majorHAnsi" w:hAnsiTheme="majorHAnsi"/>
                <w:sz w:val="20"/>
                <w:szCs w:val="20"/>
              </w:rPr>
            </w:pPr>
            <w:r w:rsidRPr="00780BB3">
              <w:rPr>
                <w:rFonts w:asciiTheme="majorHAnsi" w:hAnsiTheme="majorHAnsi"/>
                <w:sz w:val="20"/>
                <w:szCs w:val="20"/>
              </w:rPr>
              <w:t xml:space="preserve">En eller flere ansatte på ledelsesnivå som har ansvar for etterlevelse og rapportering om arbeidet med aktsomhetsvurderinger til styret. </w:t>
            </w:r>
          </w:p>
          <w:p w14:paraId="30C52CBA" w14:textId="77777777" w:rsidR="00A50216" w:rsidRPr="00780BB3" w:rsidRDefault="00A50216" w:rsidP="00A50216">
            <w:pPr>
              <w:pStyle w:val="ListParagraph"/>
              <w:numPr>
                <w:ilvl w:val="0"/>
                <w:numId w:val="9"/>
              </w:numPr>
              <w:rPr>
                <w:rFonts w:asciiTheme="majorHAnsi" w:hAnsiTheme="majorHAnsi"/>
                <w:sz w:val="20"/>
                <w:szCs w:val="20"/>
              </w:rPr>
            </w:pPr>
            <w:r w:rsidRPr="00780BB3">
              <w:rPr>
                <w:rFonts w:asciiTheme="majorHAnsi" w:hAnsiTheme="majorHAnsi"/>
                <w:sz w:val="20"/>
                <w:szCs w:val="20"/>
              </w:rPr>
              <w:t>Prosedyrer for formidling og regelmessig oppfølgning av retningslinjer og prosedyrer i egen virksomhet og i leverandørkjeden.</w:t>
            </w:r>
          </w:p>
          <w:p w14:paraId="175199B1" w14:textId="77777777" w:rsidR="00A50216" w:rsidRPr="00780BB3" w:rsidRDefault="00A50216" w:rsidP="00A50216">
            <w:pPr>
              <w:pStyle w:val="ListParagraph"/>
              <w:numPr>
                <w:ilvl w:val="0"/>
                <w:numId w:val="9"/>
              </w:numPr>
              <w:rPr>
                <w:rFonts w:asciiTheme="majorHAnsi" w:hAnsiTheme="majorHAnsi"/>
                <w:sz w:val="20"/>
                <w:szCs w:val="20"/>
              </w:rPr>
            </w:pPr>
            <w:r w:rsidRPr="00780BB3">
              <w:rPr>
                <w:rFonts w:asciiTheme="majorHAnsi" w:hAnsiTheme="majorHAnsi"/>
                <w:sz w:val="20"/>
                <w:szCs w:val="20"/>
              </w:rPr>
              <w:t xml:space="preserve">Prosedyrer for å utføre regelmessige risikoanalyser i egen virksomhet og i leverandørkjeden. Det innebærer å kartlegge og vurdere risiko for brudd på kravene i punkt </w:t>
            </w:r>
            <w:r>
              <w:rPr>
                <w:rFonts w:asciiTheme="majorHAnsi" w:hAnsiTheme="majorHAnsi"/>
                <w:sz w:val="20"/>
                <w:szCs w:val="20"/>
              </w:rPr>
              <w:t>11.6.</w:t>
            </w:r>
            <w:r w:rsidRPr="00780BB3">
              <w:rPr>
                <w:rFonts w:asciiTheme="majorHAnsi" w:hAnsiTheme="majorHAnsi"/>
                <w:sz w:val="20"/>
                <w:szCs w:val="20"/>
              </w:rPr>
              <w:t xml:space="preserve"> </w:t>
            </w:r>
          </w:p>
          <w:p w14:paraId="3081D5AC" w14:textId="77777777" w:rsidR="00A50216" w:rsidRPr="00780BB3" w:rsidRDefault="00A50216" w:rsidP="00A50216">
            <w:pPr>
              <w:pStyle w:val="ListParagraph"/>
              <w:numPr>
                <w:ilvl w:val="0"/>
                <w:numId w:val="9"/>
              </w:numPr>
              <w:rPr>
                <w:rFonts w:asciiTheme="majorHAnsi" w:hAnsiTheme="majorHAnsi"/>
                <w:sz w:val="20"/>
                <w:szCs w:val="20"/>
              </w:rPr>
            </w:pPr>
            <w:r w:rsidRPr="00780BB3">
              <w:rPr>
                <w:rFonts w:asciiTheme="majorHAnsi" w:hAnsiTheme="majorHAnsi"/>
                <w:sz w:val="20"/>
                <w:szCs w:val="20"/>
              </w:rPr>
              <w:t xml:space="preserve">Prosedyrer som beskriver hvilke tiltak </w:t>
            </w:r>
            <w:r>
              <w:rPr>
                <w:rFonts w:asciiTheme="majorHAnsi" w:hAnsiTheme="majorHAnsi"/>
                <w:sz w:val="20"/>
                <w:szCs w:val="20"/>
              </w:rPr>
              <w:t>leverandøren</w:t>
            </w:r>
            <w:r w:rsidRPr="00780BB3">
              <w:rPr>
                <w:rFonts w:asciiTheme="majorHAnsi" w:hAnsiTheme="majorHAnsi"/>
                <w:sz w:val="20"/>
                <w:szCs w:val="20"/>
              </w:rPr>
              <w:t xml:space="preserve"> vil iverksette for å stanse, forebygge eller redusere negativ påvirkning og skade på kravene i punkt </w:t>
            </w:r>
            <w:r>
              <w:rPr>
                <w:rFonts w:asciiTheme="majorHAnsi" w:hAnsiTheme="majorHAnsi"/>
                <w:sz w:val="20"/>
                <w:szCs w:val="20"/>
              </w:rPr>
              <w:t>11.6</w:t>
            </w:r>
            <w:r w:rsidRPr="00780BB3">
              <w:rPr>
                <w:rFonts w:asciiTheme="majorHAnsi" w:hAnsiTheme="majorHAnsi"/>
                <w:sz w:val="20"/>
                <w:szCs w:val="20"/>
              </w:rPr>
              <w:t xml:space="preserve"> </w:t>
            </w:r>
          </w:p>
          <w:p w14:paraId="7FEEEE10" w14:textId="77777777" w:rsidR="00A50216" w:rsidRDefault="00A50216" w:rsidP="00A50216">
            <w:pPr>
              <w:rPr>
                <w:rFonts w:asciiTheme="majorHAnsi" w:hAnsiTheme="majorHAnsi"/>
                <w:sz w:val="20"/>
                <w:szCs w:val="20"/>
              </w:rPr>
            </w:pPr>
          </w:p>
          <w:p w14:paraId="0C2FE010" w14:textId="77777777" w:rsidR="00A50216" w:rsidRPr="00780BB3" w:rsidRDefault="00A50216" w:rsidP="00A50216">
            <w:pPr>
              <w:rPr>
                <w:rFonts w:asciiTheme="majorHAnsi" w:hAnsiTheme="majorHAnsi"/>
                <w:sz w:val="20"/>
                <w:szCs w:val="20"/>
              </w:rPr>
            </w:pPr>
            <w:r>
              <w:rPr>
                <w:rFonts w:asciiTheme="majorHAnsi" w:hAnsiTheme="majorHAnsi"/>
                <w:sz w:val="20"/>
                <w:szCs w:val="20"/>
              </w:rPr>
              <w:t>Leverandøren</w:t>
            </w:r>
            <w:r w:rsidRPr="00780BB3">
              <w:rPr>
                <w:rFonts w:asciiTheme="majorHAnsi" w:hAnsiTheme="majorHAnsi"/>
                <w:sz w:val="20"/>
                <w:szCs w:val="20"/>
              </w:rPr>
              <w:t xml:space="preserve"> skal kunne vise til offentlig tilgjengelig informasjon om arbeidet med aktsomhetsvurderinger i egen virksomhet og i leverandørkjeden. Dette omfatter hvordan risiko for brudd på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11.6</w:t>
            </w:r>
            <w:r>
              <w:rPr>
                <w:rFonts w:asciiTheme="majorHAnsi" w:hAnsiTheme="majorHAnsi"/>
                <w:sz w:val="20"/>
                <w:szCs w:val="20"/>
              </w:rPr>
              <w:fldChar w:fldCharType="end"/>
            </w:r>
            <w:r w:rsidRPr="00780BB3">
              <w:rPr>
                <w:rFonts w:asciiTheme="majorHAnsi" w:hAnsiTheme="majorHAnsi"/>
                <w:sz w:val="20"/>
                <w:szCs w:val="20"/>
              </w:rPr>
              <w:t xml:space="preserve">, og eventuell skade i egen virksomhet og i leverandørkjeden, er håndtert.  </w:t>
            </w:r>
          </w:p>
          <w:p w14:paraId="0A92CE6E" w14:textId="23B39038" w:rsidR="00A50216" w:rsidRPr="00A50216" w:rsidRDefault="00A50216" w:rsidP="00A50216">
            <w:pPr>
              <w:pStyle w:val="Heading3"/>
              <w:numPr>
                <w:ilvl w:val="0"/>
                <w:numId w:val="0"/>
              </w:numPr>
              <w:rPr>
                <w:b w:val="0"/>
                <w:bCs/>
              </w:rPr>
            </w:pPr>
            <w:r w:rsidRPr="00A50216">
              <w:rPr>
                <w:b w:val="0"/>
                <w:bCs/>
                <w:sz w:val="20"/>
                <w:szCs w:val="20"/>
              </w:rPr>
              <w:t>Dersom leverandøren har forårsaket, eller medvirket til skade, skal leverandøren sørge for å rette opp skaden og yte erstatning til skadelidende.</w:t>
            </w:r>
          </w:p>
        </w:tc>
      </w:tr>
      <w:tr w:rsidR="00A50216" w:rsidRPr="00D44F06" w14:paraId="57AD4056" w14:textId="77777777" w:rsidTr="00990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1413" w:type="dxa"/>
          </w:tcPr>
          <w:p w14:paraId="0120781C" w14:textId="566D9DE2" w:rsidR="00A50216" w:rsidRDefault="00A50216" w:rsidP="00A50216"/>
        </w:tc>
        <w:tc>
          <w:tcPr>
            <w:tcW w:w="7647" w:type="dxa"/>
          </w:tcPr>
          <w:p w14:paraId="55AC8D15" w14:textId="04A559AB" w:rsidR="00A50216" w:rsidRPr="007B36D9" w:rsidRDefault="00A50216" w:rsidP="00A50216"/>
        </w:tc>
      </w:tr>
      <w:tr w:rsidR="00A50216" w:rsidRPr="00D44F06" w14:paraId="20FF4BE6" w14:textId="77777777" w:rsidTr="00990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1413" w:type="dxa"/>
          </w:tcPr>
          <w:p w14:paraId="5BBF0063" w14:textId="63F93094" w:rsidR="00A50216" w:rsidRDefault="00A50216" w:rsidP="00A50216"/>
        </w:tc>
        <w:tc>
          <w:tcPr>
            <w:tcW w:w="7647" w:type="dxa"/>
          </w:tcPr>
          <w:p w14:paraId="497ED006" w14:textId="319C40D5" w:rsidR="00A50216" w:rsidRPr="00254EC3" w:rsidRDefault="00A50216" w:rsidP="00A50216">
            <w:pPr>
              <w:rPr>
                <w:rFonts w:asciiTheme="majorHAnsi" w:hAnsiTheme="majorHAnsi"/>
                <w:sz w:val="20"/>
                <w:szCs w:val="20"/>
              </w:rPr>
            </w:pPr>
          </w:p>
        </w:tc>
      </w:tr>
    </w:tbl>
    <w:p w14:paraId="16F80581" w14:textId="77777777" w:rsidR="006D47E7" w:rsidRPr="00D44F06" w:rsidRDefault="006D47E7" w:rsidP="006D47E7">
      <w:pPr>
        <w:rPr>
          <w:rFonts w:asciiTheme="majorHAnsi" w:hAnsiTheme="majorHAnsi" w:cstheme="majorHAnsi"/>
        </w:rPr>
      </w:pPr>
      <w:r w:rsidRPr="00D44F06">
        <w:rPr>
          <w:rFonts w:asciiTheme="majorHAnsi" w:hAnsiTheme="majorHAnsi" w:cstheme="majorHAnsi"/>
        </w:rPr>
        <w:t xml:space="preserve"> </w:t>
      </w:r>
    </w:p>
    <w:p w14:paraId="43F7F01F" w14:textId="77777777" w:rsidR="006D47E7" w:rsidRPr="00D44F06" w:rsidRDefault="006D47E7" w:rsidP="00C60BB7">
      <w:pPr>
        <w:rPr>
          <w:rFonts w:asciiTheme="majorHAnsi" w:hAnsiTheme="majorHAnsi" w:cstheme="majorHAnsi"/>
        </w:rPr>
      </w:pPr>
    </w:p>
    <w:sectPr w:rsidR="006D47E7" w:rsidRPr="00D44F06" w:rsidSect="00971D76">
      <w:headerReference w:type="even" r:id="rId10"/>
      <w:headerReference w:type="default" r:id="rId11"/>
      <w:footerReference w:type="even" r:id="rId12"/>
      <w:footerReference w:type="default" r:id="rId13"/>
      <w:headerReference w:type="first" r:id="rId14"/>
      <w:footerReference w:type="first" r:id="rId15"/>
      <w:pgSz w:w="11906" w:h="16838"/>
      <w:pgMar w:top="1701" w:right="1418" w:bottom="1701" w:left="1418" w:header="567"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B227" w14:textId="77777777" w:rsidR="00903D88" w:rsidRDefault="00903D88" w:rsidP="00F141DA">
      <w:pPr>
        <w:spacing w:after="0" w:line="240" w:lineRule="auto"/>
      </w:pPr>
      <w:r>
        <w:separator/>
      </w:r>
    </w:p>
    <w:p w14:paraId="452B8059" w14:textId="77777777" w:rsidR="00903D88" w:rsidRDefault="00903D88"/>
  </w:endnote>
  <w:endnote w:type="continuationSeparator" w:id="0">
    <w:p w14:paraId="42B1E16A" w14:textId="77777777" w:rsidR="00903D88" w:rsidRDefault="00903D88" w:rsidP="00F141DA">
      <w:pPr>
        <w:spacing w:after="0" w:line="240" w:lineRule="auto"/>
      </w:pPr>
      <w:r>
        <w:continuationSeparator/>
      </w:r>
    </w:p>
    <w:p w14:paraId="3D2189FB" w14:textId="77777777" w:rsidR="00903D88" w:rsidRDefault="00903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0F83D" w14:textId="266FF0EB" w:rsidR="007913BE" w:rsidRDefault="007913BE"/>
  <w:p w14:paraId="352002E5" w14:textId="77777777" w:rsidR="007913BE" w:rsidRDefault="007913B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BD0A7" w14:textId="77777777" w:rsidR="007913BE" w:rsidRDefault="007913BE" w:rsidP="00350266">
    <w:r>
      <w:rPr>
        <w:noProof/>
        <w:lang w:eastAsia="nb-NO"/>
      </w:rPr>
      <mc:AlternateContent>
        <mc:Choice Requires="wps">
          <w:drawing>
            <wp:anchor distT="0" distB="0" distL="114300" distR="114300" simplePos="0" relativeHeight="251658241" behindDoc="1" locked="0" layoutInCell="1" allowOverlap="1" wp14:anchorId="74242505" wp14:editId="29AD2AE0">
              <wp:simplePos x="0" y="0"/>
              <wp:positionH relativeFrom="page">
                <wp:posOffset>899795</wp:posOffset>
              </wp:positionH>
              <wp:positionV relativeFrom="page">
                <wp:posOffset>9951085</wp:posOffset>
              </wp:positionV>
              <wp:extent cx="5759450" cy="0"/>
              <wp:effectExtent l="0" t="0" r="0" b="0"/>
              <wp:wrapNone/>
              <wp:docPr id="9" name="Rett linje 9">
                <a:extLst xmlns:a="http://schemas.openxmlformats.org/drawingml/2006/main">
                  <a:ext uri="{FF2B5EF4-FFF2-40B4-BE49-F238E27FC236}">
                    <a16:creationId xmlns:a16="http://schemas.microsoft.com/office/drawing/2014/main" id="{1A346EBB-8476-46BA-965A-DE978BA1B76A}"/>
                  </a:ext>
                </a:extLst>
              </wp:docPr>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C4CF3F" id="Rett linje 9"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" strokecolor="black [3213]" strokeweight=".5pt">
              <v:stroke joinstyle="miter"/>
              <w10:wrap anchorx="page" anchory="page"/>
            </v:line>
          </w:pict>
        </mc:Fallback>
      </mc:AlternateContent>
    </w:r>
    <w:r>
      <w:fldChar w:fldCharType="begin"/>
    </w:r>
    <w:r>
      <w:instrText xml:space="preserve"> PAGE   \* MERGEFORMAT </w:instrText>
    </w:r>
    <w:r>
      <w:fldChar w:fldCharType="separate"/>
    </w:r>
    <w:r>
      <w:rPr>
        <w:noProof/>
      </w:rPr>
      <w:t>2</w:t>
    </w:r>
    <w:r>
      <w:fldChar w:fldCharType="end"/>
    </w:r>
    <w:r>
      <w:t xml:space="preserve"> av </w:t>
    </w:r>
    <w:fldSimple w:instr="NUMPAGES   \* MERGEFORMAT">
      <w:r>
        <w:rPr>
          <w:noProof/>
        </w:rPr>
        <w:t>1</w:t>
      </w:r>
    </w:fldSimple>
  </w:p>
  <w:p w14:paraId="1157C21F" w14:textId="77777777" w:rsidR="007913BE" w:rsidRDefault="007913B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BADDC" w14:textId="4E0FB7B9" w:rsidR="007913BE" w:rsidRDefault="007913BE" w:rsidP="00EC008C">
    <w:r>
      <w:t>Versjonsdato 04.09.2024</w:t>
    </w:r>
    <w:r>
      <w:tab/>
    </w:r>
    <w:r>
      <w:tab/>
    </w:r>
    <w:r>
      <w:rPr>
        <w:noProof/>
        <w:lang w:eastAsia="nb-NO"/>
      </w:rPr>
      <mc:AlternateContent>
        <mc:Choice Requires="wps">
          <w:drawing>
            <wp:anchor distT="0" distB="0" distL="114300" distR="114300" simplePos="0" relativeHeight="251658240" behindDoc="1" locked="0" layoutInCell="1" allowOverlap="1" wp14:anchorId="5361EE0E" wp14:editId="6EF68279">
              <wp:simplePos x="0" y="0"/>
              <wp:positionH relativeFrom="page">
                <wp:posOffset>899795</wp:posOffset>
              </wp:positionH>
              <wp:positionV relativeFrom="page">
                <wp:posOffset>9951085</wp:posOffset>
              </wp:positionV>
              <wp:extent cx="5759450" cy="0"/>
              <wp:effectExtent l="0" t="0" r="0" b="0"/>
              <wp:wrapNone/>
              <wp:docPr id="8" name="Rett linje 8">
                <a:extLst xmlns:a="http://schemas.openxmlformats.org/drawingml/2006/main">
                  <a:ext uri="{FF2B5EF4-FFF2-40B4-BE49-F238E27FC236}">
                    <a16:creationId xmlns:a16="http://schemas.microsoft.com/office/drawing/2014/main" id="{F9AABAFA-7C61-4690-B430-1916ECD044B4}"/>
                  </a:ext>
                </a:extLst>
              </wp:docPr>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B7CA59" id="Rett linje 8"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" strokecolor="black [3213]" strokeweight=".5pt">
              <v:stroke joinstyle="miter"/>
              <w10:wrap anchorx="page" anchory="page"/>
            </v:line>
          </w:pict>
        </mc:Fallback>
      </mc:AlternateContent>
    </w:r>
    <w:r>
      <w:fldChar w:fldCharType="begin"/>
    </w:r>
    <w:r>
      <w:instrText xml:space="preserve"> PAGE   \* MERGEFORMAT </w:instrText>
    </w:r>
    <w:r>
      <w:fldChar w:fldCharType="separate"/>
    </w:r>
    <w:r>
      <w:rPr>
        <w:noProof/>
      </w:rPr>
      <w:t>1</w:t>
    </w:r>
    <w:r>
      <w:fldChar w:fldCharType="end"/>
    </w:r>
    <w:r>
      <w:t xml:space="preserve"> av </w:t>
    </w:r>
    <w:fldSimple w:instr="NUMPAGES   \* MERGEFORMAT">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41BDC" w14:textId="77777777" w:rsidR="00903D88" w:rsidRDefault="00903D88" w:rsidP="00F141DA">
      <w:pPr>
        <w:spacing w:after="0" w:line="240" w:lineRule="auto"/>
      </w:pPr>
      <w:r>
        <w:separator/>
      </w:r>
    </w:p>
    <w:p w14:paraId="59CD9B84" w14:textId="77777777" w:rsidR="00903D88" w:rsidRDefault="00903D88"/>
  </w:footnote>
  <w:footnote w:type="continuationSeparator" w:id="0">
    <w:p w14:paraId="4133C8A2" w14:textId="77777777" w:rsidR="00903D88" w:rsidRDefault="00903D88" w:rsidP="00F141DA">
      <w:pPr>
        <w:spacing w:after="0" w:line="240" w:lineRule="auto"/>
      </w:pPr>
      <w:r>
        <w:continuationSeparator/>
      </w:r>
    </w:p>
    <w:p w14:paraId="7AA4C936" w14:textId="77777777" w:rsidR="00903D88" w:rsidRDefault="00903D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A950" w14:textId="48BDCDFF" w:rsidR="007913BE" w:rsidRDefault="007913BE"/>
  <w:p w14:paraId="5DEB3F46" w14:textId="77777777" w:rsidR="007913BE" w:rsidRDefault="007913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738C6" w14:textId="77777777" w:rsidR="007913BE" w:rsidRPr="00350266" w:rsidRDefault="007913BE" w:rsidP="00350266">
    <w:r>
      <w:rPr>
        <w:noProof/>
        <w:lang w:eastAsia="nb-NO"/>
      </w:rPr>
      <mc:AlternateContent>
        <mc:Choice Requires="wps">
          <w:drawing>
            <wp:anchor distT="0" distB="0" distL="114300" distR="114300" simplePos="0" relativeHeight="251658243" behindDoc="1" locked="0" layoutInCell="1" allowOverlap="1" wp14:anchorId="4B4573B8" wp14:editId="4275393A">
              <wp:simplePos x="0" y="0"/>
              <wp:positionH relativeFrom="margin">
                <wp:align>right</wp:align>
              </wp:positionH>
              <wp:positionV relativeFrom="page">
                <wp:posOffset>565150</wp:posOffset>
              </wp:positionV>
              <wp:extent cx="4176000" cy="0"/>
              <wp:effectExtent l="0" t="0" r="0" b="0"/>
              <wp:wrapNone/>
              <wp:docPr id="11" name="Rett linje 11">
                <a:extLst xmlns:a="http://schemas.openxmlformats.org/drawingml/2006/main">
                  <a:ext uri="{FF2B5EF4-FFF2-40B4-BE49-F238E27FC236}">
                    <a16:creationId xmlns:a16="http://schemas.microsoft.com/office/drawing/2014/main" id="{030F4BB1-1261-4D4D-B8BE-ABFCCE4EE20B}"/>
                  </a:ext>
                </a:extLst>
              </wp:docPr>
              <wp:cNvGraphicFramePr/>
              <a:graphic xmlns:a="http://schemas.openxmlformats.org/drawingml/2006/main">
                <a:graphicData uri="http://schemas.microsoft.com/office/word/2010/wordprocessingShape">
                  <wps:wsp>
                    <wps:cNvCnPr/>
                    <wps:spPr>
                      <a:xfrm>
                        <a:off x="0" y="0"/>
                        <a:ext cx="417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571C11" id="Rett linje 11" o:spid="_x0000_s1026" style="position:absolute;z-index:-251658237;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277.6pt,44.5pt" to="606.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" strokecolor="black [3213]" strokeweight=".5pt">
              <v:stroke joinstyle="miter"/>
              <w10:wrap anchorx="margin" anchory="page"/>
            </v:line>
          </w:pict>
        </mc:Fallback>
      </mc:AlternateContent>
    </w:r>
    <w:r>
      <w:rPr>
        <w:noProof/>
        <w:lang w:eastAsia="nb-NO"/>
      </w:rPr>
      <w:drawing>
        <wp:anchor distT="0" distB="0" distL="114300" distR="114300" simplePos="0" relativeHeight="251658242" behindDoc="1" locked="0" layoutInCell="1" allowOverlap="1" wp14:anchorId="262148AE" wp14:editId="65EDF02F">
          <wp:simplePos x="0" y="0"/>
          <wp:positionH relativeFrom="page">
            <wp:posOffset>0</wp:posOffset>
          </wp:positionH>
          <wp:positionV relativeFrom="page">
            <wp:posOffset>0</wp:posOffset>
          </wp:positionV>
          <wp:extent cx="1802765" cy="661035"/>
          <wp:effectExtent l="0" t="0" r="6985" b="5715"/>
          <wp:wrapNone/>
          <wp:docPr id="10" name="Bilde 10">
            <a:extLst xmlns:a="http://schemas.openxmlformats.org/drawingml/2006/main">
              <a:ext uri="{FF2B5EF4-FFF2-40B4-BE49-F238E27FC236}">
                <a16:creationId xmlns:a16="http://schemas.microsoft.com/office/drawing/2014/main" id="{45F4A177-A2A9-49F1-B3E9-1DD3C5028C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_topp2.png"/>
                  <pic:cNvPicPr/>
                </pic:nvPicPr>
                <pic:blipFill>
                  <a:blip r:embed="rId1">
                    <a:extLst>
                      <a:ext uri="{28A0092B-C50C-407E-A947-70E740481C1C}">
                        <a14:useLocalDpi xmlns:a14="http://schemas.microsoft.com/office/drawing/2010/main" val="0"/>
                      </a:ext>
                    </a:extLst>
                  </a:blip>
                  <a:stretch>
                    <a:fillRect/>
                  </a:stretch>
                </pic:blipFill>
                <pic:spPr>
                  <a:xfrm>
                    <a:off x="0" y="0"/>
                    <a:ext cx="1802765" cy="661035"/>
                  </a:xfrm>
                  <a:prstGeom prst="rect">
                    <a:avLst/>
                  </a:prstGeom>
                </pic:spPr>
              </pic:pic>
            </a:graphicData>
          </a:graphic>
        </wp:anchor>
      </w:drawing>
    </w:r>
  </w:p>
  <w:p w14:paraId="7CE6E8CE" w14:textId="77777777" w:rsidR="007913BE" w:rsidRDefault="007913B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C5E5" w14:textId="59B65E57" w:rsidR="007913BE" w:rsidRDefault="007913BE" w:rsidP="009F5392">
    <w:r>
      <w:rPr>
        <w:noProof/>
      </w:rPr>
      <w:drawing>
        <wp:inline distT="0" distB="0" distL="0" distR="0" wp14:anchorId="444E15E2" wp14:editId="02AA569F">
          <wp:extent cx="1953658" cy="559543"/>
          <wp:effectExtent l="0" t="0" r="8890" b="0"/>
          <wp:docPr id="70" name="Grafikk 70">
            <a:extLst xmlns:a="http://schemas.openxmlformats.org/drawingml/2006/main">
              <a:ext uri="{FF2B5EF4-FFF2-40B4-BE49-F238E27FC236}">
                <a16:creationId xmlns:a16="http://schemas.microsoft.com/office/drawing/2014/main" id="{A626D295-2063-422A-BED4-F81365113100}"/>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p>
  <w:p w14:paraId="218D2E89" w14:textId="77777777" w:rsidR="007913BE" w:rsidRDefault="007913BE" w:rsidP="009F5392"/>
  <w:p w14:paraId="096464AE" w14:textId="77777777" w:rsidR="007913BE" w:rsidRDefault="007913BE" w:rsidP="009F5392">
    <w:pP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8359C"/>
    <w:multiLevelType w:val="multilevel"/>
    <w:tmpl w:val="B056756A"/>
    <w:lvl w:ilvl="0">
      <w:start w:val="1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8233437"/>
    <w:multiLevelType w:val="hybridMultilevel"/>
    <w:tmpl w:val="ADE6D738"/>
    <w:lvl w:ilvl="0" w:tplc="40C8C126">
      <w:start w:val="2"/>
      <w:numFmt w:val="bullet"/>
      <w:lvlText w:val="-"/>
      <w:lvlJc w:val="left"/>
      <w:pPr>
        <w:ind w:left="360" w:hanging="360"/>
      </w:pPr>
      <w:rPr>
        <w:rFonts w:ascii="Garamond" w:eastAsia="Times New Roman" w:hAnsi="Garamond"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4996BFC"/>
    <w:multiLevelType w:val="multilevel"/>
    <w:tmpl w:val="FCFE3650"/>
    <w:lvl w:ilvl="0">
      <w:start w:val="11"/>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48341A0"/>
    <w:multiLevelType w:val="hybridMultilevel"/>
    <w:tmpl w:val="6B16AC8C"/>
    <w:lvl w:ilvl="0" w:tplc="75025806">
      <w:start w:val="1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00821BC"/>
    <w:multiLevelType w:val="multilevel"/>
    <w:tmpl w:val="735AB2AA"/>
    <w:lvl w:ilvl="0">
      <w:start w:val="12"/>
      <w:numFmt w:val="decimal"/>
      <w:lvlText w:val="%1"/>
      <w:lvlJc w:val="left"/>
      <w:pPr>
        <w:ind w:left="546" w:hanging="444"/>
      </w:pPr>
      <w:rPr>
        <w:rFonts w:hint="default"/>
      </w:rPr>
    </w:lvl>
    <w:lvl w:ilvl="1">
      <w:start w:val="1"/>
      <w:numFmt w:val="decimal"/>
      <w:lvlText w:val="%1.%2"/>
      <w:lvlJc w:val="left"/>
      <w:pPr>
        <w:ind w:left="546" w:hanging="444"/>
      </w:pPr>
      <w:rPr>
        <w:rFonts w:hint="default"/>
        <w:b/>
        <w:bCs/>
        <w:spacing w:val="-1"/>
        <w:w w:val="99"/>
      </w:rPr>
    </w:lvl>
    <w:lvl w:ilvl="2">
      <w:numFmt w:val="bullet"/>
      <w:lvlText w:val="•"/>
      <w:lvlJc w:val="left"/>
      <w:pPr>
        <w:ind w:left="1488" w:hanging="444"/>
      </w:pPr>
      <w:rPr>
        <w:rFonts w:hint="default"/>
      </w:rPr>
    </w:lvl>
    <w:lvl w:ilvl="3">
      <w:numFmt w:val="bullet"/>
      <w:lvlText w:val="•"/>
      <w:lvlJc w:val="left"/>
      <w:pPr>
        <w:ind w:left="2257" w:hanging="444"/>
      </w:pPr>
      <w:rPr>
        <w:rFonts w:hint="default"/>
      </w:rPr>
    </w:lvl>
    <w:lvl w:ilvl="4">
      <w:numFmt w:val="bullet"/>
      <w:lvlText w:val="•"/>
      <w:lvlJc w:val="left"/>
      <w:pPr>
        <w:ind w:left="3026" w:hanging="444"/>
      </w:pPr>
      <w:rPr>
        <w:rFonts w:hint="default"/>
      </w:rPr>
    </w:lvl>
    <w:lvl w:ilvl="5">
      <w:numFmt w:val="bullet"/>
      <w:lvlText w:val="•"/>
      <w:lvlJc w:val="left"/>
      <w:pPr>
        <w:ind w:left="3795" w:hanging="444"/>
      </w:pPr>
      <w:rPr>
        <w:rFonts w:hint="default"/>
      </w:rPr>
    </w:lvl>
    <w:lvl w:ilvl="6">
      <w:numFmt w:val="bullet"/>
      <w:lvlText w:val="•"/>
      <w:lvlJc w:val="left"/>
      <w:pPr>
        <w:ind w:left="4563" w:hanging="444"/>
      </w:pPr>
      <w:rPr>
        <w:rFonts w:hint="default"/>
      </w:rPr>
    </w:lvl>
    <w:lvl w:ilvl="7">
      <w:numFmt w:val="bullet"/>
      <w:lvlText w:val="•"/>
      <w:lvlJc w:val="left"/>
      <w:pPr>
        <w:ind w:left="5332" w:hanging="444"/>
      </w:pPr>
      <w:rPr>
        <w:rFonts w:hint="default"/>
      </w:rPr>
    </w:lvl>
    <w:lvl w:ilvl="8">
      <w:numFmt w:val="bullet"/>
      <w:lvlText w:val="•"/>
      <w:lvlJc w:val="left"/>
      <w:pPr>
        <w:ind w:left="6101" w:hanging="444"/>
      </w:pPr>
      <w:rPr>
        <w:rFonts w:hint="default"/>
      </w:rPr>
    </w:lvl>
  </w:abstractNum>
  <w:abstractNum w:abstractNumId="7" w15:restartNumberingAfterBreak="0">
    <w:nsid w:val="72155760"/>
    <w:multiLevelType w:val="multilevel"/>
    <w:tmpl w:val="AF06034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6E7545E"/>
    <w:multiLevelType w:val="hybridMultilevel"/>
    <w:tmpl w:val="B7A2714A"/>
    <w:lvl w:ilvl="0" w:tplc="C8DE9F8E">
      <w:start w:val="11"/>
      <w:numFmt w:val="bullet"/>
      <w:lvlText w:val="-"/>
      <w:lvlJc w:val="left"/>
      <w:pPr>
        <w:ind w:left="360" w:hanging="360"/>
      </w:pPr>
      <w:rPr>
        <w:rFonts w:ascii="Aptos Display" w:eastAsia="Times New Roman" w:hAnsi="Aptos Display" w:cs="Times New Roman"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9" w15:restartNumberingAfterBreak="0">
    <w:nsid w:val="7BDE5849"/>
    <w:multiLevelType w:val="multilevel"/>
    <w:tmpl w:val="69AECC0C"/>
    <w:lvl w:ilvl="0">
      <w:start w:val="1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37088018">
    <w:abstractNumId w:val="9"/>
  </w:num>
  <w:num w:numId="2" w16cid:durableId="1715693213">
    <w:abstractNumId w:val="5"/>
  </w:num>
  <w:num w:numId="3" w16cid:durableId="323901448">
    <w:abstractNumId w:val="6"/>
  </w:num>
  <w:num w:numId="4" w16cid:durableId="442118351">
    <w:abstractNumId w:val="8"/>
  </w:num>
  <w:num w:numId="5" w16cid:durableId="510143823">
    <w:abstractNumId w:val="1"/>
  </w:num>
  <w:num w:numId="6" w16cid:durableId="818813655">
    <w:abstractNumId w:val="7"/>
  </w:num>
  <w:num w:numId="7" w16cid:durableId="1845897276">
    <w:abstractNumId w:val="4"/>
  </w:num>
  <w:num w:numId="8" w16cid:durableId="1828208235">
    <w:abstractNumId w:val="0"/>
  </w:num>
  <w:num w:numId="9" w16cid:durableId="586310360">
    <w:abstractNumId w:val="2"/>
  </w:num>
  <w:num w:numId="10" w16cid:durableId="2048020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7E7"/>
    <w:rsid w:val="000027D0"/>
    <w:rsid w:val="00003445"/>
    <w:rsid w:val="00020C37"/>
    <w:rsid w:val="000904C4"/>
    <w:rsid w:val="00094C8E"/>
    <w:rsid w:val="001417A5"/>
    <w:rsid w:val="001523F8"/>
    <w:rsid w:val="0018253D"/>
    <w:rsid w:val="00194F1E"/>
    <w:rsid w:val="001B56CE"/>
    <w:rsid w:val="002225D5"/>
    <w:rsid w:val="00254EC3"/>
    <w:rsid w:val="002C3B45"/>
    <w:rsid w:val="002F7A2C"/>
    <w:rsid w:val="00304241"/>
    <w:rsid w:val="00305BCE"/>
    <w:rsid w:val="00310C04"/>
    <w:rsid w:val="00350266"/>
    <w:rsid w:val="00371EAC"/>
    <w:rsid w:val="003B0D58"/>
    <w:rsid w:val="003F302D"/>
    <w:rsid w:val="004008EB"/>
    <w:rsid w:val="00413E4F"/>
    <w:rsid w:val="0042251F"/>
    <w:rsid w:val="004415F3"/>
    <w:rsid w:val="0044683D"/>
    <w:rsid w:val="004533D5"/>
    <w:rsid w:val="00472B8B"/>
    <w:rsid w:val="004E227A"/>
    <w:rsid w:val="004F75A6"/>
    <w:rsid w:val="00522BBF"/>
    <w:rsid w:val="00537481"/>
    <w:rsid w:val="005438A0"/>
    <w:rsid w:val="0059179C"/>
    <w:rsid w:val="005D7758"/>
    <w:rsid w:val="005E789D"/>
    <w:rsid w:val="00626071"/>
    <w:rsid w:val="006567FB"/>
    <w:rsid w:val="006C6E34"/>
    <w:rsid w:val="006D47E7"/>
    <w:rsid w:val="006F4E6C"/>
    <w:rsid w:val="007913BE"/>
    <w:rsid w:val="007A32C1"/>
    <w:rsid w:val="007B0703"/>
    <w:rsid w:val="00850D99"/>
    <w:rsid w:val="00874F0D"/>
    <w:rsid w:val="0088627E"/>
    <w:rsid w:val="008B5C8B"/>
    <w:rsid w:val="008E77E9"/>
    <w:rsid w:val="00903D88"/>
    <w:rsid w:val="009552F1"/>
    <w:rsid w:val="00963B78"/>
    <w:rsid w:val="00971D76"/>
    <w:rsid w:val="00973AE0"/>
    <w:rsid w:val="009904F1"/>
    <w:rsid w:val="00996140"/>
    <w:rsid w:val="009C63A8"/>
    <w:rsid w:val="009F0E9D"/>
    <w:rsid w:val="009F2A02"/>
    <w:rsid w:val="009F5392"/>
    <w:rsid w:val="00A109AA"/>
    <w:rsid w:val="00A27A74"/>
    <w:rsid w:val="00A50216"/>
    <w:rsid w:val="00AB17F4"/>
    <w:rsid w:val="00B02672"/>
    <w:rsid w:val="00B02C45"/>
    <w:rsid w:val="00B07D8E"/>
    <w:rsid w:val="00B12F36"/>
    <w:rsid w:val="00B66EB6"/>
    <w:rsid w:val="00B70847"/>
    <w:rsid w:val="00BD7222"/>
    <w:rsid w:val="00BF6088"/>
    <w:rsid w:val="00C4072D"/>
    <w:rsid w:val="00C60BB7"/>
    <w:rsid w:val="00C64DBB"/>
    <w:rsid w:val="00C91D96"/>
    <w:rsid w:val="00CA31C3"/>
    <w:rsid w:val="00CB0147"/>
    <w:rsid w:val="00CB0592"/>
    <w:rsid w:val="00CC42DF"/>
    <w:rsid w:val="00CD2126"/>
    <w:rsid w:val="00D02E15"/>
    <w:rsid w:val="00D11506"/>
    <w:rsid w:val="00D35B31"/>
    <w:rsid w:val="00D44F06"/>
    <w:rsid w:val="00DF384D"/>
    <w:rsid w:val="00E53AC1"/>
    <w:rsid w:val="00E674E4"/>
    <w:rsid w:val="00E866D8"/>
    <w:rsid w:val="00EC008C"/>
    <w:rsid w:val="00EF7DEA"/>
    <w:rsid w:val="00F141DA"/>
    <w:rsid w:val="00F33C68"/>
    <w:rsid w:val="00F618D3"/>
    <w:rsid w:val="00F9603B"/>
    <w:rsid w:val="00FA4FD9"/>
    <w:rsid w:val="00FE55BA"/>
    <w:rsid w:val="4D03FD4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F4C0"/>
  <w15:chartTrackingRefBased/>
  <w15:docId w15:val="{8E8EA728-D681-4302-9C1F-1352FECE3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A02"/>
    <w:rPr>
      <w:kern w:val="2"/>
      <w14:ligatures w14:val="standardContextual"/>
    </w:rPr>
  </w:style>
  <w:style w:type="paragraph" w:styleId="Heading1">
    <w:name w:val="Heading 1"/>
    <w:basedOn w:val="Normal"/>
    <w:next w:val="Normal"/>
    <w:link w:val="Heading1Char"/>
    <w:qFormat/>
    <w:rsid w:val="009F5392"/>
    <w:pPr>
      <w:keepNext/>
      <w:keepLines/>
      <w:numPr>
        <w:numId w:val="6"/>
      </w:numPr>
      <w:spacing w:before="360" w:after="120" w:line="240" w:lineRule="auto"/>
      <w:ind w:left="624" w:hanging="624"/>
      <w:outlineLvl w:val="0"/>
    </w:pPr>
    <w:rPr>
      <w:rFonts w:asciiTheme="majorHAnsi" w:eastAsiaTheme="majorEastAsia" w:hAnsiTheme="majorHAnsi" w:cstheme="majorBidi"/>
      <w:b/>
      <w:sz w:val="28"/>
      <w:szCs w:val="32"/>
    </w:rPr>
  </w:style>
  <w:style w:type="paragraph" w:styleId="Heading2">
    <w:name w:val="Heading 2"/>
    <w:basedOn w:val="Normal"/>
    <w:next w:val="Normal"/>
    <w:link w:val="Heading2Char"/>
    <w:qFormat/>
    <w:rsid w:val="009F5392"/>
    <w:pPr>
      <w:keepNext/>
      <w:keepLines/>
      <w:numPr>
        <w:ilvl w:val="1"/>
        <w:numId w:val="6"/>
      </w:numPr>
      <w:spacing w:before="240" w:after="60" w:line="240" w:lineRule="auto"/>
      <w:ind w:left="624" w:hanging="624"/>
      <w:outlineLvl w:val="1"/>
    </w:pPr>
    <w:rPr>
      <w:rFonts w:asciiTheme="majorHAnsi" w:eastAsiaTheme="majorEastAsia" w:hAnsiTheme="majorHAnsi" w:cstheme="majorBidi"/>
      <w:color w:val="C1002B" w:themeColor="accent1"/>
      <w:szCs w:val="26"/>
    </w:rPr>
  </w:style>
  <w:style w:type="paragraph" w:styleId="Heading3">
    <w:name w:val="Heading 3"/>
    <w:basedOn w:val="Normal"/>
    <w:next w:val="Normal"/>
    <w:link w:val="Heading3Char"/>
    <w:uiPriority w:val="9"/>
    <w:qFormat/>
    <w:rsid w:val="009F5392"/>
    <w:pPr>
      <w:keepNext/>
      <w:keepLines/>
      <w:numPr>
        <w:ilvl w:val="2"/>
        <w:numId w:val="6"/>
      </w:numPr>
      <w:spacing w:before="240" w:after="0"/>
      <w:outlineLvl w:val="2"/>
    </w:pPr>
    <w:rPr>
      <w:rFonts w:asciiTheme="majorHAnsi" w:eastAsiaTheme="majorEastAsia" w:hAnsiTheme="majorHAnsi" w:cstheme="majorBidi"/>
      <w:b/>
      <w:sz w:val="18"/>
    </w:rPr>
  </w:style>
  <w:style w:type="paragraph" w:styleId="Heading4">
    <w:name w:val="Heading 4"/>
    <w:basedOn w:val="Normal"/>
    <w:next w:val="Normal"/>
    <w:link w:val="Heading4Char"/>
    <w:qFormat/>
    <w:rsid w:val="009F5392"/>
    <w:pPr>
      <w:keepNext/>
      <w:keepLines/>
      <w:numPr>
        <w:ilvl w:val="3"/>
        <w:numId w:val="6"/>
      </w:numPr>
      <w:spacing w:before="40" w:after="0"/>
      <w:outlineLvl w:val="3"/>
    </w:pPr>
    <w:rPr>
      <w:rFonts w:asciiTheme="majorHAnsi" w:eastAsiaTheme="majorEastAsia" w:hAnsiTheme="majorHAnsi" w:cstheme="majorBidi"/>
      <w:i/>
      <w:iCs/>
      <w:color w:val="90001F" w:themeColor="accent1" w:themeShade="BF"/>
    </w:rPr>
  </w:style>
  <w:style w:type="paragraph" w:styleId="Heading5">
    <w:name w:val="Heading 5"/>
    <w:basedOn w:val="Normal"/>
    <w:next w:val="Normal"/>
    <w:link w:val="Heading5Char"/>
    <w:qFormat/>
    <w:rsid w:val="009F5392"/>
    <w:pPr>
      <w:keepNext/>
      <w:keepLines/>
      <w:numPr>
        <w:ilvl w:val="4"/>
        <w:numId w:val="6"/>
      </w:numPr>
      <w:spacing w:before="40" w:after="0"/>
      <w:ind w:left="720" w:hanging="720"/>
      <w:outlineLvl w:val="4"/>
    </w:pPr>
    <w:rPr>
      <w:rFonts w:asciiTheme="majorHAnsi" w:eastAsiaTheme="majorEastAsia" w:hAnsiTheme="majorHAnsi" w:cstheme="majorBidi"/>
      <w:color w:val="90001F" w:themeColor="accent1" w:themeShade="BF"/>
    </w:rPr>
  </w:style>
  <w:style w:type="paragraph" w:styleId="Heading6">
    <w:name w:val="Heading 6"/>
    <w:basedOn w:val="Normal"/>
    <w:next w:val="Normal"/>
    <w:link w:val="Heading6Char"/>
    <w:qFormat/>
    <w:rsid w:val="009F5392"/>
    <w:pPr>
      <w:keepNext/>
      <w:keepLines/>
      <w:numPr>
        <w:ilvl w:val="5"/>
        <w:numId w:val="6"/>
      </w:numPr>
      <w:spacing w:before="40" w:after="0"/>
      <w:ind w:left="1080" w:hanging="1080"/>
      <w:outlineLvl w:val="5"/>
    </w:pPr>
    <w:rPr>
      <w:rFonts w:asciiTheme="majorHAnsi" w:eastAsiaTheme="majorEastAsia" w:hAnsiTheme="majorHAnsi" w:cstheme="majorBidi"/>
      <w:color w:val="600015" w:themeColor="accent1" w:themeShade="7F"/>
    </w:rPr>
  </w:style>
  <w:style w:type="paragraph" w:styleId="Heading7">
    <w:name w:val="Heading 7"/>
    <w:basedOn w:val="Normal"/>
    <w:next w:val="Normal"/>
    <w:link w:val="Heading7Char"/>
    <w:qFormat/>
    <w:rsid w:val="009F5392"/>
    <w:pPr>
      <w:keepNext/>
      <w:keepLines/>
      <w:numPr>
        <w:ilvl w:val="6"/>
        <w:numId w:val="6"/>
      </w:numPr>
      <w:spacing w:before="40" w:after="0"/>
      <w:ind w:left="1080" w:hanging="1080"/>
      <w:outlineLvl w:val="6"/>
    </w:pPr>
    <w:rPr>
      <w:rFonts w:asciiTheme="majorHAnsi" w:eastAsiaTheme="majorEastAsia" w:hAnsiTheme="majorHAnsi" w:cstheme="majorBidi"/>
      <w:i/>
      <w:iCs/>
      <w:color w:val="600015" w:themeColor="accent1" w:themeShade="7F"/>
    </w:rPr>
  </w:style>
  <w:style w:type="paragraph" w:styleId="Heading8">
    <w:name w:val="Heading 8"/>
    <w:basedOn w:val="Normal"/>
    <w:next w:val="Normal"/>
    <w:link w:val="Heading8Char"/>
    <w:qFormat/>
    <w:rsid w:val="009F5392"/>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9F5392"/>
    <w:pPr>
      <w:keepNext/>
      <w:keepLines/>
      <w:numPr>
        <w:ilvl w:val="8"/>
        <w:numId w:val="6"/>
      </w:numPr>
      <w:spacing w:before="40" w:after="0"/>
      <w:ind w:left="1440" w:hanging="14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9F2A02"/>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A02"/>
  </w:style>
  <w:style w:type="paragraph" w:styleId="Topptekst">
    <w:name w:val="header"/>
    <w:basedOn w:val="Normal"/>
    <w:link w:val="TopptekstTegn"/>
    <w:uiPriority w:val="99"/>
    <w:semiHidden/>
    <w:unhideWhenUsed/>
    <w:rsid w:val="00371EAC"/>
    <w:pPr>
      <w:tabs>
        <w:tab w:val="center" w:pos="4680"/>
        <w:tab w:val="right" w:pos="9360"/>
      </w:tabs>
      <w:spacing w:after="0" w:line="240" w:lineRule="auto"/>
    </w:pPr>
    <w:rPr>
      <w:sz w:val="24"/>
      <w:szCs w:val="24"/>
    </w:rPr>
  </w:style>
  <w:style w:type="character" w:customStyle="1" w:styleId="HeaderChar">
    <w:name w:val="Header Char"/>
    <w:basedOn w:val="DefaultParagraphFont"/>
    <w:uiPriority w:val="99"/>
    <w:semiHidden/>
    <w:rsid w:val="009F5392"/>
    <w:rPr>
      <w:rFonts w:asciiTheme="majorHAnsi" w:hAnsiTheme="majorHAnsi"/>
      <w:sz w:val="13"/>
    </w:rPr>
  </w:style>
  <w:style w:type="paragraph" w:styleId="Bunntekst">
    <w:name w:val="footer"/>
    <w:basedOn w:val="Normal"/>
    <w:link w:val="BunntekstTegn"/>
    <w:uiPriority w:val="99"/>
    <w:unhideWhenUsed/>
    <w:rsid w:val="00003445"/>
    <w:pPr>
      <w:tabs>
        <w:tab w:val="center" w:pos="4536"/>
        <w:tab w:val="right" w:pos="9072"/>
      </w:tabs>
      <w:spacing w:after="0" w:line="240" w:lineRule="auto"/>
    </w:pPr>
    <w:rPr>
      <w:sz w:val="24"/>
      <w:szCs w:val="24"/>
    </w:rPr>
  </w:style>
  <w:style w:type="character" w:customStyle="1" w:styleId="FooterChar">
    <w:name w:val="Footer Char"/>
    <w:basedOn w:val="DefaultParagraphFont"/>
    <w:uiPriority w:val="99"/>
    <w:rsid w:val="009F5392"/>
    <w:rPr>
      <w:rFonts w:asciiTheme="majorHAnsi" w:hAnsiTheme="majorHAnsi"/>
      <w:color w:val="868688" w:themeColor="text2"/>
      <w:sz w:val="13"/>
    </w:rPr>
  </w:style>
  <w:style w:type="character" w:customStyle="1" w:styleId="Heading1Char">
    <w:name w:val="Heading 1 Char"/>
    <w:basedOn w:val="DefaultParagraphFont"/>
    <w:link w:val="Heading1"/>
    <w:uiPriority w:val="9"/>
    <w:rsid w:val="009F5392"/>
    <w:rPr>
      <w:rFonts w:asciiTheme="majorHAnsi" w:eastAsiaTheme="majorEastAsia" w:hAnsiTheme="majorHAnsi" w:cstheme="majorBidi"/>
      <w:b/>
      <w:sz w:val="28"/>
      <w:szCs w:val="32"/>
    </w:rPr>
  </w:style>
  <w:style w:type="character" w:customStyle="1" w:styleId="Heading2Char">
    <w:name w:val="Heading 2 Char"/>
    <w:basedOn w:val="DefaultParagraphFont"/>
    <w:link w:val="Heading2"/>
    <w:uiPriority w:val="9"/>
    <w:rsid w:val="009F5392"/>
    <w:rPr>
      <w:rFonts w:asciiTheme="majorHAnsi" w:eastAsiaTheme="majorEastAsia" w:hAnsiTheme="majorHAnsi" w:cstheme="majorBidi"/>
      <w:color w:val="C1002B" w:themeColor="accent1"/>
      <w:sz w:val="20"/>
      <w:szCs w:val="26"/>
    </w:rPr>
  </w:style>
  <w:style w:type="character" w:customStyle="1" w:styleId="Heading3Char">
    <w:name w:val="Heading 3 Char"/>
    <w:basedOn w:val="DefaultParagraphFont"/>
    <w:link w:val="Heading3"/>
    <w:uiPriority w:val="9"/>
    <w:rsid w:val="009F5392"/>
    <w:rPr>
      <w:rFonts w:asciiTheme="majorHAnsi" w:eastAsiaTheme="majorEastAsia" w:hAnsiTheme="majorHAnsi" w:cstheme="majorBidi"/>
      <w:b/>
      <w:sz w:val="18"/>
      <w:szCs w:val="24"/>
    </w:rPr>
  </w:style>
  <w:style w:type="character" w:customStyle="1" w:styleId="Heading4Char">
    <w:name w:val="Heading 4 Char"/>
    <w:basedOn w:val="DefaultParagraphFont"/>
    <w:link w:val="Heading4"/>
    <w:uiPriority w:val="9"/>
    <w:semiHidden/>
    <w:rsid w:val="009F5392"/>
    <w:rPr>
      <w:rFonts w:asciiTheme="majorHAnsi" w:eastAsiaTheme="majorEastAsia" w:hAnsiTheme="majorHAnsi" w:cstheme="majorBidi"/>
      <w:i/>
      <w:iCs/>
      <w:color w:val="90001F" w:themeColor="accent1" w:themeShade="BF"/>
      <w:sz w:val="20"/>
    </w:rPr>
  </w:style>
  <w:style w:type="character" w:customStyle="1" w:styleId="Heading5Char">
    <w:name w:val="Heading 5 Char"/>
    <w:basedOn w:val="DefaultParagraphFont"/>
    <w:link w:val="Heading5"/>
    <w:uiPriority w:val="9"/>
    <w:semiHidden/>
    <w:rsid w:val="009F5392"/>
    <w:rPr>
      <w:rFonts w:asciiTheme="majorHAnsi" w:eastAsiaTheme="majorEastAsia" w:hAnsiTheme="majorHAnsi" w:cstheme="majorBidi"/>
      <w:color w:val="90001F" w:themeColor="accent1" w:themeShade="BF"/>
      <w:sz w:val="20"/>
    </w:rPr>
  </w:style>
  <w:style w:type="character" w:customStyle="1" w:styleId="Heading6Char">
    <w:name w:val="Heading 6 Char"/>
    <w:basedOn w:val="DefaultParagraphFont"/>
    <w:link w:val="Heading6"/>
    <w:uiPriority w:val="9"/>
    <w:semiHidden/>
    <w:rsid w:val="009F5392"/>
    <w:rPr>
      <w:rFonts w:asciiTheme="majorHAnsi" w:eastAsiaTheme="majorEastAsia" w:hAnsiTheme="majorHAnsi" w:cstheme="majorBidi"/>
      <w:color w:val="600015" w:themeColor="accent1" w:themeShade="7F"/>
      <w:sz w:val="20"/>
    </w:rPr>
  </w:style>
  <w:style w:type="character" w:customStyle="1" w:styleId="Heading7Char">
    <w:name w:val="Heading 7 Char"/>
    <w:basedOn w:val="DefaultParagraphFont"/>
    <w:link w:val="Heading7"/>
    <w:uiPriority w:val="9"/>
    <w:semiHidden/>
    <w:rsid w:val="009F5392"/>
    <w:rPr>
      <w:rFonts w:asciiTheme="majorHAnsi" w:eastAsiaTheme="majorEastAsia" w:hAnsiTheme="majorHAnsi" w:cstheme="majorBidi"/>
      <w:i/>
      <w:iCs/>
      <w:color w:val="600015" w:themeColor="accent1" w:themeShade="7F"/>
      <w:sz w:val="20"/>
    </w:rPr>
  </w:style>
  <w:style w:type="character" w:customStyle="1" w:styleId="Heading8Char">
    <w:name w:val="Heading 8 Char"/>
    <w:basedOn w:val="DefaultParagraphFont"/>
    <w:link w:val="Heading8"/>
    <w:uiPriority w:val="9"/>
    <w:semiHidden/>
    <w:rsid w:val="009F539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F5392"/>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rsid w:val="009F5392"/>
    <w:pPr>
      <w:spacing w:after="200" w:line="240" w:lineRule="auto"/>
    </w:pPr>
    <w:rPr>
      <w:rFonts w:asciiTheme="majorHAnsi" w:hAnsiTheme="majorHAnsi"/>
      <w:i/>
      <w:iCs/>
      <w:sz w:val="14"/>
      <w:szCs w:val="18"/>
    </w:rPr>
  </w:style>
  <w:style w:type="table" w:styleId="Tabellrutenett">
    <w:name w:val="Table Grid"/>
    <w:aliases w:val="Table Grid,Standard"/>
    <w:basedOn w:val="TableNormal"/>
    <w:uiPriority w:val="39"/>
    <w:rsid w:val="009F5392"/>
    <w:pPr>
      <w:spacing w:after="0" w:line="240" w:lineRule="auto"/>
      <w:ind w:left="85" w:right="85"/>
      <w:contextualSpacing/>
    </w:pPr>
    <w:rPr>
      <w:rFonts w:asciiTheme="majorHAnsi" w:hAnsiTheme="majorHAnsi"/>
    </w:rPr>
    <w:tblPr>
      <w:tblBorders>
        <w:bottom w:val="single" w:sz="4" w:space="0" w:color="868688" w:themeColor="text2"/>
        <w:insideH w:val="single" w:sz="4" w:space="0" w:color="868688" w:themeColor="text2"/>
        <w:insideV w:val="single" w:sz="4" w:space="0" w:color="868688" w:themeColor="text2"/>
      </w:tblBorders>
      <w:tblCellMar>
        <w:top w:w="85" w:type="dxa"/>
        <w:left w:w="0" w:type="dxa"/>
        <w:bottom w:w="85" w:type="dxa"/>
        <w:right w:w="0" w:type="dxa"/>
      </w:tblCellMar>
    </w:tblPr>
    <w:tblStylePr w:type="firstRow">
      <w:rPr>
        <w:b/>
        <w:color w:val="C1002B" w:themeColor="accent1"/>
      </w:rPr>
      <w:tblPr/>
      <w:tcPr>
        <w:shd w:val="clear" w:color="auto" w:fill="DDDDDE" w:themeFill="background2" w:themeFillTint="99"/>
      </w:tcPr>
    </w:tblStylePr>
  </w:style>
  <w:style w:type="table" w:styleId="TableGridLight">
    <w:name w:val="Table Grid Light"/>
    <w:basedOn w:val="TableNormal"/>
    <w:uiPriority w:val="40"/>
    <w:rsid w:val="009F539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orsvarsbygg1">
    <w:name w:val="Forsvarsbygg 1"/>
    <w:basedOn w:val="TableNormal"/>
    <w:uiPriority w:val="99"/>
    <w:rsid w:val="009F5392"/>
    <w:pPr>
      <w:spacing w:after="0" w:line="240" w:lineRule="auto"/>
      <w:ind w:left="85" w:right="85"/>
      <w:contextualSpacing/>
    </w:pPr>
    <w:rPr>
      <w:rFonts w:asciiTheme="majorHAnsi" w:hAnsiTheme="majorHAnsi"/>
    </w:rPr>
    <w:tblPr>
      <w:tblBorders>
        <w:bottom w:val="single" w:sz="4" w:space="0" w:color="868688" w:themeColor="text2"/>
        <w:insideH w:val="single" w:sz="4" w:space="0" w:color="868688" w:themeColor="text2"/>
      </w:tblBorders>
      <w:tblCellMar>
        <w:top w:w="85" w:type="dxa"/>
        <w:left w:w="0" w:type="dxa"/>
        <w:bottom w:w="85" w:type="dxa"/>
        <w:right w:w="0" w:type="dxa"/>
      </w:tblCellMar>
    </w:tblPr>
    <w:tblStylePr w:type="firstRow">
      <w:rPr>
        <w:b/>
        <w:color w:val="C1002B" w:themeColor="accent1"/>
      </w:rPr>
    </w:tblStylePr>
  </w:style>
  <w:style w:type="table" w:customStyle="1" w:styleId="Forsvarsbygg2">
    <w:name w:val="Forsvarsbygg 2"/>
    <w:basedOn w:val="TableNormal"/>
    <w:uiPriority w:val="99"/>
    <w:rsid w:val="009F5392"/>
    <w:pPr>
      <w:spacing w:after="0" w:line="240" w:lineRule="auto"/>
      <w:ind w:left="85" w:right="85"/>
      <w:contextualSpacing/>
    </w:pPr>
    <w:rPr>
      <w:rFonts w:asciiTheme="majorHAnsi" w:hAnsiTheme="majorHAnsi"/>
    </w:rPr>
    <w:tblPr>
      <w:tblBorders>
        <w:insideV w:val="single" w:sz="4" w:space="0" w:color="868688" w:themeColor="text2"/>
      </w:tblBorders>
      <w:tblCellMar>
        <w:top w:w="85" w:type="dxa"/>
        <w:left w:w="0" w:type="dxa"/>
        <w:bottom w:w="85" w:type="dxa"/>
        <w:right w:w="0" w:type="dxa"/>
      </w:tblCellMar>
    </w:tblPr>
    <w:tblStylePr w:type="firstRow">
      <w:rPr>
        <w:b/>
        <w:color w:val="C1002B" w:themeColor="accent1"/>
      </w:rPr>
    </w:tblStylePr>
  </w:style>
  <w:style w:type="table" w:customStyle="1" w:styleId="Forsvarsbygg3">
    <w:name w:val="Forsvarsbygg 3"/>
    <w:basedOn w:val="TableNormal"/>
    <w:uiPriority w:val="99"/>
    <w:rsid w:val="009F5392"/>
    <w:pPr>
      <w:spacing w:after="0" w:line="240" w:lineRule="auto"/>
      <w:ind w:left="85" w:right="85"/>
      <w:contextualSpacing/>
    </w:pPr>
    <w:rPr>
      <w:rFonts w:asciiTheme="majorHAnsi" w:hAnsiTheme="majorHAnsi"/>
    </w:rPr>
    <w:tblPr>
      <w:tblBorders>
        <w:insideH w:val="single" w:sz="4" w:space="0" w:color="FFFFFF" w:themeColor="background1"/>
      </w:tblBorders>
      <w:tblCellMar>
        <w:top w:w="85" w:type="dxa"/>
        <w:left w:w="0" w:type="dxa"/>
        <w:bottom w:w="85" w:type="dxa"/>
        <w:right w:w="0" w:type="dxa"/>
      </w:tblCellMar>
    </w:tblPr>
    <w:tcPr>
      <w:shd w:val="clear" w:color="auto" w:fill="DDDDDE" w:themeFill="background2" w:themeFillTint="99"/>
    </w:tcPr>
    <w:tblStylePr w:type="firstRow">
      <w:rPr>
        <w:b/>
        <w:color w:val="C1002B" w:themeColor="accent1"/>
      </w:rPr>
    </w:tblStylePr>
  </w:style>
  <w:style w:type="paragraph" w:customStyle="1" w:styleId="Tabelltekst">
    <w:name w:val="Tabelltekst"/>
    <w:basedOn w:val="Normal"/>
    <w:qFormat/>
    <w:rsid w:val="009F5392"/>
    <w:pPr>
      <w:spacing w:after="0" w:line="240" w:lineRule="auto"/>
    </w:pPr>
    <w:rPr>
      <w:rFonts w:asciiTheme="majorHAnsi" w:hAnsiTheme="majorHAnsi"/>
      <w:sz w:val="14"/>
    </w:rPr>
  </w:style>
  <w:style w:type="table" w:styleId="PlainTable5">
    <w:name w:val="Plain Table 5"/>
    <w:basedOn w:val="TableNormal"/>
    <w:uiPriority w:val="45"/>
    <w:rsid w:val="009F539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9F5392"/>
    <w:rPr>
      <w:color w:val="808080"/>
    </w:rPr>
  </w:style>
  <w:style w:type="paragraph" w:styleId="TOCHeading">
    <w:name w:val="TOC Heading"/>
    <w:basedOn w:val="Heading1"/>
    <w:next w:val="Normal"/>
    <w:uiPriority w:val="39"/>
    <w:rsid w:val="009F5392"/>
    <w:pPr>
      <w:numPr>
        <w:numId w:val="0"/>
      </w:numPr>
      <w:spacing w:before="0" w:after="480"/>
      <w:outlineLvl w:val="9"/>
    </w:pPr>
  </w:style>
  <w:style w:type="paragraph" w:styleId="TOC1">
    <w:name w:val="TOC 1"/>
    <w:basedOn w:val="Normal"/>
    <w:next w:val="Normal"/>
    <w:autoRedefine/>
    <w:uiPriority w:val="39"/>
    <w:rsid w:val="009F5392"/>
    <w:pPr>
      <w:tabs>
        <w:tab w:val="right" w:leader="dot" w:pos="9072"/>
      </w:tabs>
      <w:spacing w:after="100"/>
    </w:pPr>
    <w:rPr>
      <w:rFonts w:asciiTheme="majorHAnsi" w:hAnsiTheme="majorHAnsi"/>
      <w:b/>
      <w:sz w:val="18"/>
    </w:rPr>
  </w:style>
  <w:style w:type="paragraph" w:styleId="TOC2">
    <w:name w:val="TOC 2"/>
    <w:basedOn w:val="Normal"/>
    <w:next w:val="Normal"/>
    <w:autoRedefine/>
    <w:uiPriority w:val="39"/>
    <w:rsid w:val="009F5392"/>
    <w:pPr>
      <w:tabs>
        <w:tab w:val="right" w:leader="dot" w:pos="9072"/>
      </w:tabs>
      <w:spacing w:after="100"/>
      <w:ind w:left="190"/>
    </w:pPr>
    <w:rPr>
      <w:rFonts w:asciiTheme="majorHAnsi" w:hAnsiTheme="majorHAnsi"/>
      <w:color w:val="C1002B" w:themeColor="accent1"/>
      <w:sz w:val="18"/>
    </w:rPr>
  </w:style>
  <w:style w:type="paragraph" w:styleId="TOC3">
    <w:name w:val="TOC 3"/>
    <w:basedOn w:val="Normal"/>
    <w:next w:val="Normal"/>
    <w:autoRedefine/>
    <w:uiPriority w:val="39"/>
    <w:rsid w:val="009F5392"/>
    <w:pPr>
      <w:tabs>
        <w:tab w:val="right" w:leader="dot" w:pos="9072"/>
      </w:tabs>
      <w:spacing w:after="100"/>
      <w:ind w:left="380"/>
    </w:pPr>
    <w:rPr>
      <w:rFonts w:asciiTheme="majorHAnsi" w:hAnsiTheme="majorHAnsi"/>
      <w:sz w:val="18"/>
    </w:rPr>
  </w:style>
  <w:style w:type="character" w:styleId="Hyperlink">
    <w:name w:val="Hyperlink"/>
    <w:basedOn w:val="DefaultParagraphFont"/>
    <w:uiPriority w:val="99"/>
    <w:unhideWhenUsed/>
    <w:rsid w:val="009F5392"/>
    <w:rPr>
      <w:color w:val="0563C1" w:themeColor="hyperlink"/>
      <w:u w:val="single"/>
    </w:rPr>
  </w:style>
  <w:style w:type="paragraph" w:customStyle="1" w:styleId="BasicParagraph">
    <w:name w:val="[Basic Paragraph]"/>
    <w:basedOn w:val="Normal"/>
    <w:uiPriority w:val="99"/>
    <w:rsid w:val="009F5392"/>
    <w:pPr>
      <w:autoSpaceDE w:val="0"/>
      <w:autoSpaceDN w:val="0"/>
      <w:adjustRightInd w:val="0"/>
      <w:spacing w:after="0" w:line="288" w:lineRule="auto"/>
      <w:textAlignment w:val="center"/>
    </w:pPr>
    <w:rPr>
      <w:rFonts w:ascii="Minion Pro" w:hAnsi="Minion Pro" w:cs="Minion Pro"/>
      <w:color w:val="000000"/>
      <w:lang w:val="en-GB"/>
    </w:rPr>
  </w:style>
  <w:style w:type="paragraph" w:styleId="ListParagraph">
    <w:name w:val="List Paragraph"/>
    <w:basedOn w:val="Normal"/>
    <w:uiPriority w:val="34"/>
    <w:qFormat/>
    <w:rsid w:val="00CC42DF"/>
    <w:pPr>
      <w:spacing w:after="0" w:line="240" w:lineRule="auto"/>
      <w:ind w:left="720"/>
      <w:contextualSpacing/>
    </w:pPr>
    <w:rPr>
      <w:rFonts w:ascii="Garamond" w:eastAsia="Times New Roman" w:hAnsi="Garamond" w:cs="Times New Roman"/>
      <w:lang w:eastAsia="nb-NO"/>
    </w:rPr>
  </w:style>
  <w:style w:type="character" w:styleId="CommentReference">
    <w:name w:val="Comment Reference"/>
    <w:basedOn w:val="DefaultParagraphFont"/>
    <w:uiPriority w:val="99"/>
    <w:semiHidden/>
    <w:unhideWhenUsed/>
    <w:rsid w:val="00CC42DF"/>
    <w:rPr>
      <w:sz w:val="16"/>
      <w:szCs w:val="16"/>
    </w:rPr>
  </w:style>
  <w:style w:type="paragraph" w:customStyle="1" w:styleId="Brdtekstpaaflgende">
    <w:name w:val="Brødtekst paafølgende"/>
    <w:basedOn w:val="Normal"/>
    <w:link w:val="BrdtekstpaaflgendeTegn"/>
    <w:rsid w:val="00B07D8E"/>
    <w:pPr>
      <w:spacing w:before="60" w:after="60" w:line="240" w:lineRule="auto"/>
    </w:pPr>
    <w:rPr>
      <w:rFonts w:ascii="Garamond" w:eastAsia="Times New Roman" w:hAnsi="Garamond" w:cs="Times New Roman"/>
      <w:kern w:val="0"/>
      <w:lang w:eastAsia="nb-NO"/>
      <w14:ligatures w14:val="none"/>
    </w:rPr>
  </w:style>
  <w:style w:type="character" w:customStyle="1" w:styleId="BrdtekstpaaflgendeTegn">
    <w:name w:val="Brødtekst paafølgende Tegn"/>
    <w:link w:val="Brdtekstpaaflgende"/>
    <w:locked/>
    <w:rsid w:val="00B07D8E"/>
    <w:rPr>
      <w:rFonts w:ascii="Garamond" w:eastAsia="Times New Roman" w:hAnsi="Garamond" w:cs="Times New Roman"/>
      <w:lang w:eastAsia="nb-NO"/>
    </w:rPr>
  </w:style>
  <w:style w:type="character" w:customStyle="1" w:styleId="TopptekstTegn">
    <w:name w:val="Topptekst Tegn"/>
    <w:basedOn w:val="DefaultParagraphFont"/>
    <w:link w:val="Topptekst"/>
    <w:uiPriority w:val="99"/>
    <w:semiHidden/>
    <w:rsid w:val="009F2A02"/>
    <w:rPr>
      <w:kern w:val="2"/>
      <w:sz w:val="24"/>
      <w:szCs w:val="24"/>
      <w14:ligatures w14:val="standardContextual"/>
    </w:rPr>
  </w:style>
  <w:style w:type="character" w:customStyle="1" w:styleId="BunntekstTegn">
    <w:name w:val="Bunntekst Tegn"/>
    <w:basedOn w:val="DefaultParagraphFont"/>
    <w:link w:val="Bunntekst"/>
    <w:uiPriority w:val="99"/>
    <w:semiHidden/>
    <w:rsid w:val="009F2A02"/>
    <w:rPr>
      <w:kern w:val="2"/>
      <w:sz w:val="24"/>
      <w:szCs w:val="24"/>
      <w14:ligatures w14:val="standardContextual"/>
    </w:rPr>
  </w:style>
  <w:style w:type="character" w:customStyle="1" w:styleId="FootnoteTextChar1">
    <w:name w:val="Footnote Text Char1"/>
    <w:basedOn w:val="DefaultParagraphFont"/>
    <w:uiPriority w:val="99"/>
    <w:semiHidden/>
    <w:rsid w:val="009F2A02"/>
    <w:rPr>
      <w:kern w:val="2"/>
      <w:sz w:val="20"/>
      <w:szCs w:val="20"/>
      <w14:ligatures w14:val="standardContextual"/>
    </w:rPr>
  </w:style>
  <w:style w:type="character" w:customStyle="1" w:styleId="TitleChar1">
    <w:name w:val="Title Char1"/>
    <w:basedOn w:val="DefaultParagraphFont"/>
    <w:uiPriority w:val="10"/>
    <w:semiHidden/>
    <w:rsid w:val="009F2A02"/>
    <w:rPr>
      <w:rFonts w:asciiTheme="majorHAnsi" w:eastAsiaTheme="majorEastAsia" w:hAnsiTheme="majorHAnsi" w:cstheme="majorBidi"/>
      <w:spacing w:val="-10"/>
      <w:kern w:val="28"/>
      <w:sz w:val="56"/>
      <w:szCs w:val="56"/>
      <w14:ligatures w14:val="standardContextual"/>
    </w:rPr>
  </w:style>
  <w:style w:type="character" w:customStyle="1" w:styleId="SubtitleChar1">
    <w:name w:val="Subtitle Char1"/>
    <w:basedOn w:val="DefaultParagraphFont"/>
    <w:uiPriority w:val="11"/>
    <w:semiHidden/>
    <w:rsid w:val="009F2A02"/>
    <w:rPr>
      <w:rFonts w:eastAsiaTheme="majorEastAsia" w:cstheme="majorBidi"/>
      <w:color w:val="595959" w:themeColor="text1" w:themeTint="A6"/>
      <w:spacing w:val="15"/>
      <w:kern w:val="2"/>
      <w:sz w:val="28"/>
      <w:szCs w:val="28"/>
      <w14:ligatures w14:val="standardContextual"/>
    </w:rPr>
  </w:style>
  <w:style w:type="character" w:customStyle="1" w:styleId="BalloonTextChar1">
    <w:name w:val="Balloon Text Char1"/>
    <w:basedOn w:val="DefaultParagraphFont"/>
    <w:uiPriority w:val="99"/>
    <w:semiHidden/>
    <w:rsid w:val="009F2A02"/>
    <w:rPr>
      <w:rFonts w:ascii="Segoe UI" w:hAnsi="Segoe UI" w:cs="Segoe UI"/>
      <w:kern w:val="2"/>
      <w:sz w:val="18"/>
      <w:szCs w:val="18"/>
      <w14:ligatures w14:val="standardContextual"/>
    </w:rPr>
  </w:style>
  <w:style w:type="character" w:customStyle="1" w:styleId="CommentTextChar1">
    <w:name w:val="Comment Text Char1"/>
    <w:basedOn w:val="DefaultParagraphFont"/>
    <w:uiPriority w:val="99"/>
    <w:semiHidden/>
    <w:rsid w:val="009F2A02"/>
    <w:rPr>
      <w:kern w:val="2"/>
      <w:sz w:val="20"/>
      <w:szCs w:val="20"/>
      <w14:ligatures w14:val="standardContextual"/>
    </w:rPr>
  </w:style>
  <w:style w:type="character" w:customStyle="1" w:styleId="CommentSubjectChar1">
    <w:name w:val="Comment Subject Char1"/>
    <w:basedOn w:val="CommentTextChar1"/>
    <w:uiPriority w:val="99"/>
    <w:semiHidden/>
    <w:rsid w:val="009F2A02"/>
    <w:rPr>
      <w:b/>
      <w:bCs/>
      <w:kern w:val="2"/>
      <w:sz w:val="20"/>
      <w:szCs w:val="20"/>
      <w14:ligatures w14:val="standardContextual"/>
    </w:rPr>
  </w:style>
  <w:style w:type="character" w:customStyle="1" w:styleId="BodyTextChar1">
    <w:name w:val="Body Text Char1"/>
    <w:basedOn w:val="DefaultParagraphFont"/>
    <w:uiPriority w:val="99"/>
    <w:semiHidden/>
    <w:rsid w:val="009F2A02"/>
    <w:rPr>
      <w:kern w:val="2"/>
      <w:sz w:val="24"/>
      <w:szCs w:val="24"/>
      <w14:ligatures w14:val="standardContextual"/>
    </w:rPr>
  </w:style>
  <w:style w:type="character" w:customStyle="1" w:styleId="MerknadstekstTegn">
    <w:name w:val="Merknadstekst Tegn"/>
    <w:basedOn w:val="DefaultParagraphFont"/>
    <w:uiPriority w:val="99"/>
    <w:semiHidden/>
    <w:rsid w:val="009F2A02"/>
    <w:rPr>
      <w:kern w:val="2"/>
      <w:sz w:val="20"/>
      <w:szCs w:val="20"/>
      <w14:ligatures w14:val="standardContextual"/>
    </w:rPr>
  </w:style>
  <w:style w:type="character" w:customStyle="1" w:styleId="KommentaremneTegn">
    <w:name w:val="Kommentaremne Tegn"/>
    <w:basedOn w:val="MerknadstekstTegn"/>
    <w:uiPriority w:val="99"/>
    <w:semiHidden/>
    <w:rsid w:val="009F2A02"/>
    <w:rPr>
      <w:b/>
      <w:bCs/>
      <w:kern w:val="2"/>
      <w:sz w:val="20"/>
      <w:szCs w:val="20"/>
      <w14:ligatures w14:val="standardContextual"/>
    </w:rPr>
  </w:style>
  <w:style w:type="paragraph" w:styleId="Ingenmellomrom">
    <w:name w:val="No Spacing"/>
    <w:uiPriority w:val="1"/>
    <w:qFormat/>
    <w:rsid w:val="009F2A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277457">
      <w:bodyDiv w:val="1"/>
      <w:marLeft w:val="0"/>
      <w:marRight w:val="0"/>
      <w:marTop w:val="0"/>
      <w:marBottom w:val="0"/>
      <w:divBdr>
        <w:top w:val="none" w:sz="0" w:space="0" w:color="auto"/>
        <w:left w:val="none" w:sz="0" w:space="0" w:color="auto"/>
        <w:bottom w:val="none" w:sz="0" w:space="0" w:color="auto"/>
        <w:right w:val="none" w:sz="0" w:space="0" w:color="auto"/>
      </w:divBdr>
    </w:div>
    <w:div w:id="143309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Forsvarsbygg">
      <a:dk1>
        <a:sysClr val="windowText" lastClr="000000"/>
      </a:dk1>
      <a:lt1>
        <a:sysClr val="window" lastClr="FFFFFF"/>
      </a:lt1>
      <a:dk2>
        <a:srgbClr val="868688"/>
      </a:dk2>
      <a:lt2>
        <a:srgbClr val="C7C7C8"/>
      </a:lt2>
      <a:accent1>
        <a:srgbClr val="C1002B"/>
      </a:accent1>
      <a:accent2>
        <a:srgbClr val="005782"/>
      </a:accent2>
      <a:accent3>
        <a:srgbClr val="BEBC00"/>
      </a:accent3>
      <a:accent4>
        <a:srgbClr val="008688"/>
      </a:accent4>
      <a:accent5>
        <a:srgbClr val="E06C08"/>
      </a:accent5>
      <a:accent6>
        <a:srgbClr val="868688"/>
      </a:accent6>
      <a:hlink>
        <a:srgbClr val="0563C1"/>
      </a:hlink>
      <a:folHlink>
        <a:srgbClr val="954F72"/>
      </a:folHlink>
    </a:clrScheme>
    <a:fontScheme name="Egendefinert 27">
      <a:majorFont>
        <a:latin typeface="Arial"/>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odkjenner xmlns="832f98cf-9a3a-4064-94fb-2de816b2185d">
      <UserInfo>
        <DisplayName>Puhr, Maria</DisplayName>
        <AccountId>3201</AccountId>
        <AccountType/>
      </UserInfo>
    </Godkjenner>
    <a9609aba33374f40a540ac1810b218ad xmlns="832f98cf-9a3a-4064-94fb-2de816b2185d">
      <Terms xmlns="http://schemas.microsoft.com/office/infopath/2007/PartnerControls">
        <TermInfo xmlns="http://schemas.microsoft.com/office/infopath/2007/PartnerControls">
          <TermName xmlns="http://schemas.microsoft.com/office/infopath/2007/PartnerControls">Rammeavtale</TermName>
          <TermId xmlns="http://schemas.microsoft.com/office/infopath/2007/PartnerControls">260ed939-81ab-49f9-9fb4-aa600866feae</TermId>
        </TermInfo>
      </Terms>
    </a9609aba33374f40a540ac1810b218ad>
    <TaxCatchAll xmlns="832f98cf-9a3a-4064-94fb-2de816b2185d">
      <Value>53</Value>
      <Value>584</Value>
      <Value>9</Value>
    </TaxCatchAll>
    <Revisjonsansvarlig xmlns="e3f2b36b-5ed3-4ab2-a68c-a7fe585c2bab">
      <UserInfo>
        <DisplayName>Ingeberg, Martine Cecilie Ildstad</DisplayName>
        <AccountId>2542</AccountId>
        <AccountType/>
      </UserInfo>
    </Revisjonsansvarlig>
    <l18fc729754d4921abcb412b310266ea xmlns="832f98cf-9a3a-4064-94fb-2de816b2185d">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3ee3e023-ff54-411c-8b87-30620316b60e</TermId>
        </TermInfo>
      </Terms>
    </l18fc729754d4921abcb412b310266ea>
    <SourceVersion xmlns="e3f2b36b-5ed3-4ab2-a68c-a7fe585c2bab">4.0</SourceVersion>
    <Revisjonsdato xmlns="http://schemas.microsoft.com/sharepoint/v3">2023-10-03T00:00:00+00:00</Revisjonsdato>
    <DLCPolicyLabelClientValue xmlns="e3f2b36b-5ed3-4ab2-a68c-a7fe585c2bab">FBKS-51-5873
{_UIVersionString}</DLCPolicyLabelClientValue>
    <RevideresInnenDato xmlns="832f98cf-9a3a-4064-94fb-2de816b2185d">2023-11-03T00:00:00+00:00</RevideresInnenDato>
    <Godkjent_x0020_dato xmlns="832f98cf-9a3a-4064-94fb-2de816b2185d">2022-11-03T00:00:00+00:00</Godkjent_x0020_dato>
    <Sortering xmlns="832f98cf-9a3a-4064-94fb-2de816b2185d">0012</Sortering>
    <RevisjonKopiTil xmlns="e3f2b36b-5ed3-4ab2-a68c-a7fe585c2bab">
      <UserInfo>
        <DisplayName/>
        <AccountId xsi:nil="true"/>
        <AccountType/>
      </UserInfo>
    </RevisjonKopiTil>
    <Godkjent_x0020_av xmlns="832f98cf-9a3a-4064-94fb-2de816b2185d">
      <UserInfo>
        <DisplayName>Puhr, Maria</DisplayName>
        <AccountId>3201</AccountId>
        <AccountType/>
      </UserInfo>
    </Godkjent_x0020_av>
    <DLCPolicyLabelLock xmlns="e3f2b36b-5ed3-4ab2-a68c-a7fe585c2bab" xsi:nil="true"/>
    <OriginalDocumentID xmlns="e3f2b36b-5ed3-4ab2-a68c-a7fe585c2bab">FBKS-51-5873</OriginalDocumentID>
    <_dlc_DocId xmlns="832f98cf-9a3a-4064-94fb-2de816b2185d">FBKS-51-5873</_dlc_DocId>
    <_dlc_DocIdUrl xmlns="832f98cf-9a3a-4064-94fb-2de816b2185d">
      <Url>http://kvalitetssystem.forsvarsbygg.local/_layouts/DocIdRedir.aspx?ID=FBKS-51-5873</Url>
      <Description>FBKS-51-5873</Description>
    </_dlc_DocIdUrl>
    <DLCPolicyLabelValue xmlns="e3f2b36b-5ed3-4ab2-a68c-a7fe585c2bab">FBKS-51-5873
4.0</DLCPolicyLabelValue>
  </documentManagement>
</p:properties>
</file>

<file path=customXml/itemProps1.xml><?xml version="1.0" encoding="utf-8"?>
<ds:datastoreItem xmlns:ds="http://schemas.openxmlformats.org/officeDocument/2006/customXml" ds:itemID="{E0648CBB-4F07-4467-8A75-CE8F27DE16F8}">
  <ds:schemaRefs>
    <ds:schemaRef ds:uri="http://schemas.microsoft.com/sharepoint/v3/contenttype/forms"/>
  </ds:schemaRefs>
</ds:datastoreItem>
</file>

<file path=customXml/itemProps2.xml><?xml version="1.0" encoding="utf-8"?>
<ds:datastoreItem xmlns:ds="http://schemas.openxmlformats.org/officeDocument/2006/customXml" ds:itemID="{C35075A1-8417-45AF-BBE8-D2C283640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5D936-B5E0-4027-A34C-8F0A242C9C65}">
  <ds:schemaRefs>
    <ds:schemaRef ds:uri="http://schemas.microsoft.com/office/2006/metadata/properties"/>
    <ds:schemaRef ds:uri="http://schemas.microsoft.com/office/infopath/2007/PartnerControls"/>
    <ds:schemaRef ds:uri="832f98cf-9a3a-4064-94fb-2de816b2185d"/>
    <ds:schemaRef ds:uri="e3f2b36b-5ed3-4ab2-a68c-a7fe585c2ba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1030</Words>
  <Characters>5464</Characters>
  <Application>Microsoft Office Word</Application>
  <DocSecurity>0</DocSecurity>
  <Lines>45</Lines>
  <Paragraphs>12</Paragraphs>
  <ScaleCrop>false</ScaleCrop>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1 - Endringer til Forsvarsbyggs generelle kontraktsvilkår for rammeavtaler</dc:title>
  <dc:subject/>
  <dc:creator>Ingeberg, Martine Cecilie Ildstad</dc:creator>
  <cp:keywords/>
  <dc:description/>
  <cp:lastModifiedBy>Svendsen, Kristin</cp:lastModifiedBy>
  <cp:revision>6</cp:revision>
  <dcterms:created xsi:type="dcterms:W3CDTF">2026-03-18T04:42:00Z</dcterms:created>
  <dcterms:modified xsi:type="dcterms:W3CDTF">2026-06-03T07:48:00Z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a483dc853f0e480abfb8031e5d82c911">
    <vt:lpwstr>Skal benyttes|2952ae88-8c4c-42ae-b6ca-618af796a1e1</vt:lpwstr>
  </property>
  <property fmtid="{D5CDD505-2E9C-101B-9397-08002B2CF9AE}" pid="4" name="_dlc_DocIdItemGuid">
    <vt:lpwstr>34bf9d2c-683e-4fd4-be96-f300787668e5</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